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517DA" w14:textId="62F5BB55" w:rsidR="005E7DDA" w:rsidRDefault="00C81926" w:rsidP="00C81926">
      <w:pPr>
        <w:pStyle w:val="Title"/>
      </w:pPr>
      <w:r>
        <w:t xml:space="preserve">Departmental Guidelines for Promotion &amp; Tenure: </w:t>
      </w:r>
      <w:r w:rsidR="00C14D71">
        <w:t>Geography</w:t>
      </w:r>
    </w:p>
    <w:p w14:paraId="7E6AC086" w14:textId="46B9A039" w:rsidR="00C81926" w:rsidRDefault="00A7430E" w:rsidP="00C81926">
      <w:r>
        <w:t xml:space="preserve">This document will </w:t>
      </w:r>
      <w:r w:rsidR="00C4039D">
        <w:t xml:space="preserve">detail guidelines for candidates applying for promotion and/or tenure at the University of Mary Washington in the </w:t>
      </w:r>
      <w:r w:rsidR="00C14D71">
        <w:t>Geography</w:t>
      </w:r>
      <w:r w:rsidR="00C4039D">
        <w:t xml:space="preserve"> Department</w:t>
      </w:r>
      <w:r w:rsidR="00A11151">
        <w:t xml:space="preserve">. These guidelines will explain how the universal criteria established in Section 7 of the </w:t>
      </w:r>
      <w:r w:rsidR="00A11151">
        <w:rPr>
          <w:i/>
          <w:iCs/>
        </w:rPr>
        <w:t xml:space="preserve">Faculty Handbook </w:t>
      </w:r>
      <w:r w:rsidR="00A11151">
        <w:t xml:space="preserve">are typically </w:t>
      </w:r>
      <w:r w:rsidR="00FF1E37">
        <w:t>met</w:t>
      </w:r>
      <w:r w:rsidR="00FF1E37">
        <w:rPr>
          <w:rStyle w:val="CommentReference"/>
          <w:sz w:val="24"/>
          <w:szCs w:val="24"/>
        </w:rPr>
        <w:t xml:space="preserve"> w</w:t>
      </w:r>
      <w:r w:rsidR="00A11151">
        <w:t>ithin this specific discipline</w:t>
      </w:r>
      <w:r w:rsidR="0050064F">
        <w:t xml:space="preserve"> for candidates applying for (1) promotion to senior lecturer, (2) promotion to associate professor and/or tenure, and (3) promotion to full professor</w:t>
      </w:r>
      <w:r w:rsidR="00A11151">
        <w:t xml:space="preserve">. </w:t>
      </w:r>
      <w:r w:rsidR="00D46436">
        <w:t>These guidelines should inform the candidate’s file preparation</w:t>
      </w:r>
      <w:r w:rsidR="00B9758C">
        <w:t xml:space="preserve"> and the chair/Associate Dean’s letter writing</w:t>
      </w:r>
      <w:r w:rsidR="00400B18">
        <w:t>.</w:t>
      </w:r>
    </w:p>
    <w:p w14:paraId="53E98DEB" w14:textId="2C31113D" w:rsidR="00400B18" w:rsidRDefault="00400B18" w:rsidP="00C81926">
      <w:r>
        <w:t>T</w:t>
      </w:r>
      <w:r w:rsidR="00C945C2">
        <w:t xml:space="preserve">o affirm alignment with universal criteria established in Section 7 of the </w:t>
      </w:r>
      <w:r w:rsidR="00C945C2">
        <w:rPr>
          <w:i/>
          <w:iCs/>
        </w:rPr>
        <w:t>Faculty Handbook</w:t>
      </w:r>
      <w:r w:rsidR="00C945C2" w:rsidRPr="00C945C2">
        <w:t>, t</w:t>
      </w:r>
      <w:r>
        <w:t xml:space="preserve">hese guidelines were approved by the University Faculty Affairs Committee on </w:t>
      </w:r>
      <w:r w:rsidR="001F55F2">
        <w:t>3/23/26.</w:t>
      </w:r>
    </w:p>
    <w:p w14:paraId="158B19F6" w14:textId="4CB22020" w:rsidR="00F91E49" w:rsidRDefault="00F91E49" w:rsidP="00BE73B8">
      <w:pPr>
        <w:pStyle w:val="Heading1"/>
      </w:pPr>
      <w:r>
        <w:t>Promotion to Senior Lecturer</w:t>
      </w:r>
    </w:p>
    <w:p w14:paraId="67DA149A" w14:textId="1BD3CFA8" w:rsidR="00221146" w:rsidRDefault="00F91E49" w:rsidP="00F91E49">
      <w:pPr>
        <w:pStyle w:val="Heading2"/>
      </w:pPr>
      <w:r>
        <w:t xml:space="preserve">Departmental Guidelines for </w:t>
      </w:r>
      <w:r w:rsidR="00BE73B8">
        <w:t>Teaching</w:t>
      </w:r>
      <w:r w:rsidR="00475FB4">
        <w:t xml:space="preserve"> (Promotion to Senior Lecturer)</w:t>
      </w:r>
    </w:p>
    <w:p w14:paraId="0FBF45BF" w14:textId="61A6846C" w:rsidR="00B9426C" w:rsidRDefault="00B9426C" w:rsidP="00B9426C">
      <w:pPr>
        <w:pStyle w:val="Caption"/>
        <w:keepNext/>
      </w:pPr>
      <w:r>
        <w:t xml:space="preserve">Table </w:t>
      </w:r>
      <w:r w:rsidR="00000000">
        <w:fldChar w:fldCharType="begin"/>
      </w:r>
      <w:r w:rsidR="00000000">
        <w:instrText xml:space="preserve"> SEQ Table \* ARABIC </w:instrText>
      </w:r>
      <w:r w:rsidR="00000000">
        <w:fldChar w:fldCharType="separate"/>
      </w:r>
      <w:r w:rsidR="00212F1B">
        <w:rPr>
          <w:noProof/>
        </w:rPr>
        <w:t>1</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B1642C" w14:paraId="5F68F576" w14:textId="77777777" w:rsidTr="4CD93D45">
        <w:tc>
          <w:tcPr>
            <w:tcW w:w="4675" w:type="dxa"/>
            <w:shd w:val="clear" w:color="auto" w:fill="C1E4F5" w:themeFill="accent1" w:themeFillTint="33"/>
          </w:tcPr>
          <w:p w14:paraId="279F588C" w14:textId="15223763" w:rsidR="00B1642C" w:rsidRPr="00BF29D0" w:rsidRDefault="00B1642C" w:rsidP="00BE73B8">
            <w:pPr>
              <w:rPr>
                <w:b/>
                <w:bCs/>
                <w:i/>
                <w:iCs/>
              </w:rPr>
            </w:pPr>
            <w:r w:rsidRPr="00BF29D0">
              <w:rPr>
                <w:b/>
                <w:bCs/>
              </w:rPr>
              <w:t xml:space="preserve">Criteria </w:t>
            </w:r>
            <w:r w:rsidR="001B6F77">
              <w:rPr>
                <w:b/>
                <w:bCs/>
              </w:rPr>
              <w:t xml:space="preserve">for Teaching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2714AE21" w14:textId="07E09DBB" w:rsidR="00B1642C" w:rsidRPr="00BF29D0" w:rsidRDefault="00B1642C" w:rsidP="00BE73B8">
            <w:pPr>
              <w:rPr>
                <w:b/>
                <w:bCs/>
              </w:rPr>
            </w:pPr>
            <w:r w:rsidRPr="4CD93D45">
              <w:rPr>
                <w:b/>
                <w:bCs/>
              </w:rPr>
              <w:t xml:space="preserve">Guidelines for How Criteria </w:t>
            </w:r>
            <w:r w:rsidR="001B6F77" w:rsidRPr="4CD93D45">
              <w:rPr>
                <w:b/>
                <w:bCs/>
              </w:rPr>
              <w:t xml:space="preserve">for Teaching </w:t>
            </w:r>
            <w:r w:rsidRPr="4CD93D45">
              <w:rPr>
                <w:b/>
                <w:bCs/>
              </w:rPr>
              <w:t xml:space="preserve">Are </w:t>
            </w:r>
            <w:r w:rsidR="774E8824" w:rsidRPr="4CD93D45">
              <w:rPr>
                <w:b/>
                <w:bCs/>
              </w:rPr>
              <w:t>Met</w:t>
            </w:r>
            <w:r w:rsidR="00BF29D0" w:rsidRPr="4CD93D45">
              <w:rPr>
                <w:b/>
                <w:bCs/>
              </w:rPr>
              <w:t xml:space="preserve"> within Discipline</w:t>
            </w:r>
          </w:p>
        </w:tc>
      </w:tr>
      <w:tr w:rsidR="00B1642C" w14:paraId="0E34334A" w14:textId="77777777" w:rsidTr="4CD93D45">
        <w:tc>
          <w:tcPr>
            <w:tcW w:w="4675" w:type="dxa"/>
          </w:tcPr>
          <w:p w14:paraId="589DA906" w14:textId="67C55530" w:rsidR="00B1642C" w:rsidRDefault="002F5B27" w:rsidP="00BE73B8">
            <w:r w:rsidRPr="002F5B27">
              <w:rPr>
                <w:b/>
                <w:bCs/>
              </w:rPr>
              <w:t>7.3.1 GENERAL CRITERIA FOR TEACHING</w:t>
            </w:r>
            <w:r w:rsidRPr="002F5B27">
              <w:t xml:space="preserve"> The candidate for promotion and/or tenure must demonstrate effective and innovative teaching by showing that they have exhibited effort, skill, reflection, dedication to student learning, flexibility, and current knowledge of the discipline. Effective teaching is, in and of itself, a significant achievement, and the University gives it high priority in evaluating every faculty member’s performance. The candidate must demonstrate a pattern of effective teaching during the evaluation period, as indicated by evidence from multiple sources, including (but not limited to): student feedback; colleagues’ testimonials; quality of syllabi, teaching materials, and assignments. The University </w:t>
            </w:r>
            <w:r w:rsidRPr="002F5B27">
              <w:lastRenderedPageBreak/>
              <w:t>also recognizes the value of substantial contributions to the curriculum; course improvement through revision of content and method; development of new courses, development of across-the-curriculum courses; contributions to interdisciplinary student learning experiences; and involvement and success in individual instruction or mentoring of students, as evidenced by student research, creative work, presentations, or publications in departmental or campus venues (note that external venues are ordinarily considered professional activity).</w:t>
            </w:r>
          </w:p>
        </w:tc>
        <w:tc>
          <w:tcPr>
            <w:tcW w:w="4675" w:type="dxa"/>
          </w:tcPr>
          <w:p w14:paraId="44978B26" w14:textId="1ABDB0DF" w:rsidR="0085179E" w:rsidRDefault="0085179E" w:rsidP="0085179E">
            <w:pPr>
              <w:rPr>
                <w:rFonts w:eastAsia="Times New Roman"/>
                <w:color w:val="000000"/>
              </w:rPr>
            </w:pPr>
            <w:r>
              <w:rPr>
                <w:rFonts w:ascii="Aptos" w:eastAsia="Times New Roman" w:hAnsi="Aptos"/>
                <w:color w:val="000000"/>
              </w:rPr>
              <w:lastRenderedPageBreak/>
              <w:t>The universal criteria in Section 7 of the Faculty Handbook align with the expectations for achieving promotion and/or tenure within this discipline. No further departmental guidelines are recommended for candidates in the preparation of their files.</w:t>
            </w:r>
          </w:p>
          <w:p w14:paraId="336A405E" w14:textId="77777777" w:rsidR="00B1642C" w:rsidRDefault="00B1642C" w:rsidP="00BE73B8"/>
        </w:tc>
      </w:tr>
    </w:tbl>
    <w:p w14:paraId="2656141C" w14:textId="2F58333A" w:rsidR="00BE73B8" w:rsidRDefault="00BE73B8" w:rsidP="00BE73B8"/>
    <w:p w14:paraId="15A88890" w14:textId="1FF11004" w:rsidR="00BE73B8" w:rsidRDefault="00F91E49" w:rsidP="00F91E49">
      <w:pPr>
        <w:pStyle w:val="Heading2"/>
      </w:pPr>
      <w:r>
        <w:t xml:space="preserve">Departmental </w:t>
      </w:r>
      <w:r w:rsidR="00BE73B8">
        <w:t>Guidelines for Scholarly, Creative, and Professional Activity</w:t>
      </w:r>
      <w:r w:rsidR="00475FB4">
        <w:t xml:space="preserve"> (Promotion to Senior Lecturer)</w:t>
      </w:r>
    </w:p>
    <w:p w14:paraId="5F201042" w14:textId="5FFEDFC6" w:rsidR="00B9426C" w:rsidRDefault="00B9426C" w:rsidP="00B9426C">
      <w:pPr>
        <w:pStyle w:val="Caption"/>
        <w:keepNext/>
      </w:pPr>
      <w:r>
        <w:t xml:space="preserve">Table </w:t>
      </w:r>
      <w:r w:rsidR="00000000">
        <w:fldChar w:fldCharType="begin"/>
      </w:r>
      <w:r w:rsidR="00000000">
        <w:instrText xml:space="preserve"> SEQ Table \* ARABIC </w:instrText>
      </w:r>
      <w:r w:rsidR="00000000">
        <w:fldChar w:fldCharType="separate"/>
      </w:r>
      <w:r w:rsidR="00212F1B">
        <w:rPr>
          <w:noProof/>
        </w:rPr>
        <w:t>2</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1D4569" w:rsidRPr="00BF29D0" w14:paraId="240793C0" w14:textId="77777777" w:rsidTr="4CD93D45">
        <w:tc>
          <w:tcPr>
            <w:tcW w:w="4675" w:type="dxa"/>
            <w:shd w:val="clear" w:color="auto" w:fill="C1E4F5" w:themeFill="accent1" w:themeFillTint="33"/>
          </w:tcPr>
          <w:p w14:paraId="15FBF62C" w14:textId="682E88B6" w:rsidR="001D4569" w:rsidRPr="00BF29D0" w:rsidRDefault="001D4569">
            <w:pPr>
              <w:rPr>
                <w:b/>
                <w:bCs/>
                <w:i/>
                <w:iCs/>
              </w:rPr>
            </w:pPr>
            <w:r w:rsidRPr="00BF29D0">
              <w:rPr>
                <w:b/>
                <w:bCs/>
              </w:rPr>
              <w:t xml:space="preserve">Criteria </w:t>
            </w:r>
            <w:r w:rsidR="0057299D">
              <w:rPr>
                <w:b/>
                <w:bCs/>
              </w:rPr>
              <w:t xml:space="preserve">for </w:t>
            </w:r>
            <w:r w:rsidR="0057299D" w:rsidRPr="0057299D">
              <w:rPr>
                <w:b/>
                <w:bCs/>
              </w:rPr>
              <w:t xml:space="preserve">Scholarly, Creative, and Professional Activity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7E1FC64E" w14:textId="4A716546" w:rsidR="001D4569" w:rsidRPr="00BF29D0" w:rsidRDefault="1FF27839">
            <w:pPr>
              <w:rPr>
                <w:b/>
                <w:bCs/>
              </w:rPr>
            </w:pPr>
            <w:r w:rsidRPr="4CD93D45">
              <w:rPr>
                <w:b/>
                <w:bCs/>
              </w:rPr>
              <w:t xml:space="preserve">Guidelines for How Criteria </w:t>
            </w:r>
            <w:r w:rsidR="19894D7F" w:rsidRPr="4CD93D45">
              <w:rPr>
                <w:b/>
                <w:bCs/>
              </w:rPr>
              <w:t xml:space="preserve">for Scholarly, Creative, and Professional Activity </w:t>
            </w:r>
            <w:r w:rsidRPr="4CD93D45">
              <w:rPr>
                <w:b/>
                <w:bCs/>
              </w:rPr>
              <w:t xml:space="preserve">Are </w:t>
            </w:r>
            <w:r w:rsidR="2099D0CB" w:rsidRPr="4CD93D45">
              <w:rPr>
                <w:b/>
                <w:bCs/>
              </w:rPr>
              <w:t>Met</w:t>
            </w:r>
            <w:r w:rsidRPr="4CD93D45">
              <w:rPr>
                <w:b/>
                <w:bCs/>
              </w:rPr>
              <w:t xml:space="preserve"> within Discipline</w:t>
            </w:r>
          </w:p>
        </w:tc>
      </w:tr>
      <w:tr w:rsidR="001D4569" w14:paraId="354670FD" w14:textId="77777777" w:rsidTr="4CD93D45">
        <w:tc>
          <w:tcPr>
            <w:tcW w:w="4675" w:type="dxa"/>
          </w:tcPr>
          <w:p w14:paraId="51BBF880" w14:textId="55390A86" w:rsidR="001D4569" w:rsidRDefault="00C40CF1">
            <w:r w:rsidRPr="00C40CF1">
              <w:rPr>
                <w:b/>
                <w:bCs/>
              </w:rPr>
              <w:t>7.3.2.1 Criteria for Promotion to Senior Lecturer</w:t>
            </w:r>
            <w:r w:rsidRPr="00C40CF1">
              <w:t xml:space="preserve">   The candidate will demonstrate that they have engaged in professional activity that goes beyond the expected reading one must do and the conferences and workshops one must attend to maintain currency in one’s profession or discipline. Examples of professional activity include but are not limited to: teaching development and/or participation in professional credential development activities; public presentations, exhibitions, and/or performances; active involvement in professional/performing/scholarly societies, associations, boards, or groups; consulting activity; and scholarly activity (e.g., publications or book reviews in scholarly and/or professional journals and presentations/papers at scholarly and/or </w:t>
            </w:r>
            <w:r w:rsidRPr="00C40CF1">
              <w:lastRenderedPageBreak/>
              <w:t>professional conferences). The candidate and their department shall provide information about the kinds of activities that constitute the scholarly, creative, and professional activity and development appropriate for a faculty member seeking promotion to this rank.</w:t>
            </w:r>
          </w:p>
        </w:tc>
        <w:tc>
          <w:tcPr>
            <w:tcW w:w="4675" w:type="dxa"/>
          </w:tcPr>
          <w:p w14:paraId="319D5042" w14:textId="77777777" w:rsidR="009F6EB6" w:rsidRDefault="009F6EB6" w:rsidP="009F6EB6">
            <w:pPr>
              <w:rPr>
                <w:rFonts w:eastAsia="Times New Roman"/>
                <w:color w:val="000000"/>
              </w:rPr>
            </w:pPr>
            <w:r>
              <w:rPr>
                <w:rFonts w:ascii="Aptos" w:eastAsia="Times New Roman" w:hAnsi="Aptos"/>
                <w:color w:val="000000"/>
              </w:rPr>
              <w:lastRenderedPageBreak/>
              <w:t>The universal criteria in Section 7 of the Faculty Handbook align with the expectations for achieving promotion and/or tenure within this discipline. No further departmental guidelines are recommended for candidates in the preparation of their files.</w:t>
            </w:r>
          </w:p>
          <w:p w14:paraId="333938D7" w14:textId="77777777" w:rsidR="001D4569" w:rsidRDefault="001D4569"/>
        </w:tc>
      </w:tr>
    </w:tbl>
    <w:p w14:paraId="7D8BB076" w14:textId="0F0D8D8C" w:rsidR="00BE73B8" w:rsidRDefault="00BE73B8" w:rsidP="00BE73B8"/>
    <w:p w14:paraId="0650678B" w14:textId="6A3C7043" w:rsidR="00694ADF" w:rsidRDefault="00F91E49" w:rsidP="00F91E49">
      <w:pPr>
        <w:pStyle w:val="Heading2"/>
      </w:pPr>
      <w:r>
        <w:t xml:space="preserve">Departmental </w:t>
      </w:r>
      <w:r w:rsidR="00694ADF">
        <w:t>Guidelines for Service</w:t>
      </w:r>
      <w:r w:rsidR="00475FB4">
        <w:t xml:space="preserve"> (Promotion to Senior Lecturer)</w:t>
      </w:r>
    </w:p>
    <w:p w14:paraId="738E7D8B" w14:textId="7279B0A9" w:rsidR="00B9426C" w:rsidRDefault="00B9426C" w:rsidP="00B9426C">
      <w:pPr>
        <w:pStyle w:val="Caption"/>
        <w:keepNext/>
      </w:pPr>
      <w:r>
        <w:t xml:space="preserve">Table </w:t>
      </w:r>
      <w:r w:rsidR="00000000">
        <w:fldChar w:fldCharType="begin"/>
      </w:r>
      <w:r w:rsidR="00000000">
        <w:instrText xml:space="preserve"> SEQ Table \* ARABIC </w:instrText>
      </w:r>
      <w:r w:rsidR="00000000">
        <w:fldChar w:fldCharType="separate"/>
      </w:r>
      <w:r w:rsidR="00212F1B">
        <w:rPr>
          <w:noProof/>
        </w:rPr>
        <w:t>3</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7F04C2" w:rsidRPr="00BF29D0" w14:paraId="27AA5810" w14:textId="77777777" w:rsidTr="4CD93D45">
        <w:tc>
          <w:tcPr>
            <w:tcW w:w="4675" w:type="dxa"/>
            <w:shd w:val="clear" w:color="auto" w:fill="C1E4F5" w:themeFill="accent1" w:themeFillTint="33"/>
          </w:tcPr>
          <w:p w14:paraId="627657D2" w14:textId="7CFA4818" w:rsidR="007F04C2" w:rsidRPr="00BF29D0" w:rsidRDefault="007F04C2">
            <w:pPr>
              <w:rPr>
                <w:b/>
                <w:bCs/>
                <w:i/>
                <w:iCs/>
              </w:rPr>
            </w:pPr>
            <w:r w:rsidRPr="00BF29D0">
              <w:rPr>
                <w:b/>
                <w:bCs/>
              </w:rPr>
              <w:t xml:space="preserve">Criteria </w:t>
            </w:r>
            <w:r>
              <w:rPr>
                <w:b/>
                <w:bCs/>
              </w:rPr>
              <w:t>for Service</w:t>
            </w:r>
            <w:r w:rsidRPr="0057299D">
              <w:rPr>
                <w:b/>
                <w:bCs/>
              </w:rPr>
              <w:t xml:space="preserve">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71140255" w14:textId="53AA0F4C" w:rsidR="007F04C2" w:rsidRPr="00BF29D0" w:rsidRDefault="57122CD4">
            <w:pPr>
              <w:rPr>
                <w:b/>
                <w:bCs/>
              </w:rPr>
            </w:pPr>
            <w:r w:rsidRPr="4CD93D45">
              <w:rPr>
                <w:b/>
                <w:bCs/>
              </w:rPr>
              <w:t xml:space="preserve">Guidelines for How Criteria for Service Are </w:t>
            </w:r>
            <w:r w:rsidR="2DCF7C9C" w:rsidRPr="4CD93D45">
              <w:rPr>
                <w:b/>
                <w:bCs/>
              </w:rPr>
              <w:t>Met</w:t>
            </w:r>
            <w:r w:rsidRPr="4CD93D45">
              <w:rPr>
                <w:b/>
                <w:bCs/>
              </w:rPr>
              <w:t xml:space="preserve"> within Discipline</w:t>
            </w:r>
          </w:p>
        </w:tc>
      </w:tr>
      <w:tr w:rsidR="007F04C2" w14:paraId="04B5ACF6" w14:textId="77777777" w:rsidTr="4CD93D45">
        <w:tc>
          <w:tcPr>
            <w:tcW w:w="4675" w:type="dxa"/>
          </w:tcPr>
          <w:p w14:paraId="4D0127EB" w14:textId="7B09A556" w:rsidR="007F04C2" w:rsidRDefault="006E295B">
            <w:r w:rsidRPr="006E295B">
              <w:rPr>
                <w:b/>
                <w:bCs/>
              </w:rPr>
              <w:t>7.3.3.1 Criteria for Promotion to Senior Lecturer, Promotion to Associate Professor, and/or Tenure</w:t>
            </w:r>
            <w:r w:rsidRPr="006E295B">
              <w:t xml:space="preserve">    The candidate will demonstrate a consistent record of advising, continuing contribution to the department, service to the college and/or University, and/or service to the profession. Service to the department and to the college and/or University is expected for promotion to these ranks. Examples of service include but are not limited to: academic advising; formal service roles at the department level (e.g., departmental committees, department hiring activities, admissions events, website maintenance, Honor Council advising, etc.); formal service roles at the college and/or University level (e.g., committee, working group, advisory council, special assignments, faculty fellows, etc.); and formal service roles within professional organizations. Community outreach activities that rely on a faculty member’s academic expertise and serve to connect the University with the community can also be recognized in this category.</w:t>
            </w:r>
          </w:p>
        </w:tc>
        <w:tc>
          <w:tcPr>
            <w:tcW w:w="4675" w:type="dxa"/>
          </w:tcPr>
          <w:p w14:paraId="7B1CC51F" w14:textId="77777777" w:rsidR="009F6EB6" w:rsidRDefault="009F6EB6" w:rsidP="009F6EB6">
            <w:pPr>
              <w:rPr>
                <w:rFonts w:eastAsia="Times New Roman"/>
                <w:color w:val="000000"/>
              </w:rPr>
            </w:pPr>
            <w:r>
              <w:rPr>
                <w:rFonts w:ascii="Aptos" w:eastAsia="Times New Roman" w:hAnsi="Aptos"/>
                <w:color w:val="000000"/>
              </w:rPr>
              <w:t>The universal criteria in Section 7 of the Faculty Handbook align with the expectations for achieving promotion and/or tenure within this discipline. No further departmental guidelines are recommended for candidates in the preparation of their files.</w:t>
            </w:r>
          </w:p>
          <w:p w14:paraId="40652E80" w14:textId="77777777" w:rsidR="007F04C2" w:rsidRDefault="007F04C2"/>
        </w:tc>
      </w:tr>
    </w:tbl>
    <w:p w14:paraId="55A0E0EA" w14:textId="5C8B2E26" w:rsidR="00694ADF" w:rsidRPr="00BE73B8" w:rsidRDefault="00694ADF" w:rsidP="00694ADF"/>
    <w:p w14:paraId="3F60F980" w14:textId="77777777" w:rsidR="00694ADF" w:rsidRDefault="00694ADF" w:rsidP="00BE73B8"/>
    <w:p w14:paraId="60244433" w14:textId="730EA2F3" w:rsidR="00811B52" w:rsidRDefault="00811B52" w:rsidP="00811B52">
      <w:pPr>
        <w:pStyle w:val="Heading1"/>
      </w:pPr>
      <w:r>
        <w:lastRenderedPageBreak/>
        <w:t>Promotion to Associate Professor and/or Tenure</w:t>
      </w:r>
    </w:p>
    <w:p w14:paraId="6A59537B" w14:textId="627282A9" w:rsidR="00811B52" w:rsidRDefault="00811B52" w:rsidP="00811B52">
      <w:pPr>
        <w:pStyle w:val="Heading2"/>
      </w:pPr>
      <w:r>
        <w:t>Departmental Guidelines for Teaching</w:t>
      </w:r>
      <w:r w:rsidR="00475FB4">
        <w:t xml:space="preserve"> (</w:t>
      </w:r>
      <w:r w:rsidR="00475FB4" w:rsidRPr="00475FB4">
        <w:t>Promotion to Associate Professor and/or Tenure</w:t>
      </w:r>
      <w:r w:rsidR="00475FB4">
        <w:t>)</w:t>
      </w:r>
    </w:p>
    <w:p w14:paraId="2AF01E3D" w14:textId="464BA7FF" w:rsidR="00B9426C" w:rsidRDefault="00B9426C" w:rsidP="00B9426C">
      <w:pPr>
        <w:pStyle w:val="Caption"/>
        <w:keepNext/>
      </w:pPr>
      <w:r>
        <w:t xml:space="preserve">Table </w:t>
      </w:r>
      <w:r w:rsidR="00000000">
        <w:fldChar w:fldCharType="begin"/>
      </w:r>
      <w:r w:rsidR="00000000">
        <w:instrText xml:space="preserve"> SEQ Table \* ARABIC </w:instrText>
      </w:r>
      <w:r w:rsidR="00000000">
        <w:fldChar w:fldCharType="separate"/>
      </w:r>
      <w:r w:rsidR="00212F1B">
        <w:rPr>
          <w:noProof/>
        </w:rPr>
        <w:t>4</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1B6F77" w14:paraId="3E0BD811" w14:textId="77777777" w:rsidTr="4CD93D45">
        <w:tc>
          <w:tcPr>
            <w:tcW w:w="4675" w:type="dxa"/>
            <w:shd w:val="clear" w:color="auto" w:fill="C1E4F5" w:themeFill="accent1" w:themeFillTint="33"/>
          </w:tcPr>
          <w:p w14:paraId="56FBEC01" w14:textId="77777777" w:rsidR="001B6F77" w:rsidRPr="00BF29D0" w:rsidRDefault="001B6F77">
            <w:pPr>
              <w:rPr>
                <w:b/>
                <w:bCs/>
                <w:i/>
                <w:iCs/>
              </w:rPr>
            </w:pPr>
            <w:r w:rsidRPr="00BF29D0">
              <w:rPr>
                <w:b/>
                <w:bCs/>
              </w:rPr>
              <w:t xml:space="preserve">Criteria </w:t>
            </w:r>
            <w:r>
              <w:rPr>
                <w:b/>
                <w:bCs/>
              </w:rPr>
              <w:t xml:space="preserve">for Teaching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1999D84E" w14:textId="473BF975" w:rsidR="001B6F77" w:rsidRPr="00BF29D0" w:rsidRDefault="001B6F77">
            <w:pPr>
              <w:rPr>
                <w:b/>
                <w:bCs/>
              </w:rPr>
            </w:pPr>
            <w:r w:rsidRPr="4CD93D45">
              <w:rPr>
                <w:b/>
                <w:bCs/>
              </w:rPr>
              <w:t xml:space="preserve">Guidelines for How Criteria for Teaching Are </w:t>
            </w:r>
            <w:r w:rsidR="7BFEBB46" w:rsidRPr="4CD93D45">
              <w:rPr>
                <w:b/>
                <w:bCs/>
              </w:rPr>
              <w:t>Met</w:t>
            </w:r>
            <w:r w:rsidRPr="4CD93D45">
              <w:rPr>
                <w:b/>
                <w:bCs/>
              </w:rPr>
              <w:t xml:space="preserve"> within Discipline</w:t>
            </w:r>
          </w:p>
        </w:tc>
      </w:tr>
      <w:tr w:rsidR="001B6F77" w14:paraId="17AB5C87" w14:textId="77777777" w:rsidTr="4CD93D45">
        <w:tc>
          <w:tcPr>
            <w:tcW w:w="4675" w:type="dxa"/>
          </w:tcPr>
          <w:p w14:paraId="676CD2B3" w14:textId="77777777" w:rsidR="001B6F77" w:rsidRDefault="001B6F77">
            <w:r w:rsidRPr="002F5B27">
              <w:rPr>
                <w:b/>
                <w:bCs/>
              </w:rPr>
              <w:t>7.3.1 GENERAL CRITERIA FOR TEACHING</w:t>
            </w:r>
            <w:r w:rsidRPr="002F5B27">
              <w:t xml:space="preserve"> The candidate for promotion and/or tenure must demonstrate effective and innovative teaching by showing that they have exhibited effort, skill, reflection, dedication to student learning, flexibility, and current knowledge of the discipline. Effective teaching is, in and of itself, a significant achievement, and the University gives it high priority in evaluating every faculty member’s performance. The candidate must demonstrate a pattern of effective teaching during the evaluation period, as indicated by evidence from multiple sources, including (but not limited to): student feedback; colleagues’ testimonials; quality of syllabi, teaching materials, and assignments. The University also recognizes the value of substantial contributions to the curriculum; course improvement through revision of content and method; development of new courses, development of across-the-curriculum courses; contributions to interdisciplinary student learning experiences; and involvement and success in individual instruction or mentoring of students, as evidenced by student research, creative work, presentations, or publications in departmental or campus venues (note that external venues are ordinarily considered professional activity).</w:t>
            </w:r>
          </w:p>
        </w:tc>
        <w:tc>
          <w:tcPr>
            <w:tcW w:w="4675" w:type="dxa"/>
          </w:tcPr>
          <w:p w14:paraId="19C32B9A" w14:textId="77777777" w:rsidR="009F6EB6" w:rsidRDefault="009F6EB6" w:rsidP="009F6EB6">
            <w:pPr>
              <w:rPr>
                <w:rFonts w:eastAsia="Times New Roman"/>
                <w:color w:val="000000"/>
              </w:rPr>
            </w:pPr>
            <w:r>
              <w:rPr>
                <w:rFonts w:ascii="Aptos" w:eastAsia="Times New Roman" w:hAnsi="Aptos"/>
                <w:color w:val="000000"/>
              </w:rPr>
              <w:t>The universal criteria in Section 7 of the Faculty Handbook align with the expectations for achieving promotion and/or tenure within this discipline. No further departmental guidelines are recommended for candidates in the preparation of their files.</w:t>
            </w:r>
          </w:p>
          <w:p w14:paraId="54DC04A7" w14:textId="77777777" w:rsidR="001B6F77" w:rsidRDefault="001B6F77"/>
        </w:tc>
      </w:tr>
    </w:tbl>
    <w:p w14:paraId="7FE498A8" w14:textId="4EB02803" w:rsidR="00811B52" w:rsidRDefault="00811B52" w:rsidP="00811B52"/>
    <w:p w14:paraId="7FC15259" w14:textId="13BD58E9" w:rsidR="00811B52" w:rsidRDefault="00811B52" w:rsidP="00811B52">
      <w:pPr>
        <w:pStyle w:val="Heading2"/>
      </w:pPr>
      <w:r>
        <w:lastRenderedPageBreak/>
        <w:t>Departmental Guidelines for Scholarly, Creative, and Professional Activity</w:t>
      </w:r>
      <w:r w:rsidR="00475FB4">
        <w:t xml:space="preserve"> (</w:t>
      </w:r>
      <w:r w:rsidR="00475FB4" w:rsidRPr="00475FB4">
        <w:t>Promotion to Associate Professor and/or Tenure</w:t>
      </w:r>
      <w:r w:rsidR="00475FB4">
        <w:t>)</w:t>
      </w:r>
    </w:p>
    <w:p w14:paraId="29DF1374" w14:textId="5C100EE1" w:rsidR="00B9426C" w:rsidRDefault="00B9426C" w:rsidP="00B9426C">
      <w:pPr>
        <w:pStyle w:val="Caption"/>
        <w:keepNext/>
      </w:pPr>
      <w:r>
        <w:t xml:space="preserve">Table </w:t>
      </w:r>
      <w:r w:rsidR="00000000">
        <w:fldChar w:fldCharType="begin"/>
      </w:r>
      <w:r w:rsidR="00000000">
        <w:instrText xml:space="preserve"> SEQ Table \* ARABIC </w:instrText>
      </w:r>
      <w:r w:rsidR="00000000">
        <w:fldChar w:fldCharType="separate"/>
      </w:r>
      <w:r w:rsidR="00212F1B">
        <w:rPr>
          <w:noProof/>
        </w:rPr>
        <w:t>5</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57299D" w:rsidRPr="00BF29D0" w14:paraId="4B896ADA" w14:textId="77777777" w:rsidTr="4CD93D45">
        <w:tc>
          <w:tcPr>
            <w:tcW w:w="4675" w:type="dxa"/>
            <w:shd w:val="clear" w:color="auto" w:fill="C1E4F5" w:themeFill="accent1" w:themeFillTint="33"/>
          </w:tcPr>
          <w:p w14:paraId="4282A38D" w14:textId="77777777" w:rsidR="0057299D" w:rsidRPr="00BF29D0" w:rsidRDefault="0057299D">
            <w:pPr>
              <w:rPr>
                <w:b/>
                <w:bCs/>
                <w:i/>
                <w:iCs/>
              </w:rPr>
            </w:pPr>
            <w:r w:rsidRPr="00BF29D0">
              <w:rPr>
                <w:b/>
                <w:bCs/>
              </w:rPr>
              <w:t xml:space="preserve">Criteria </w:t>
            </w:r>
            <w:r>
              <w:rPr>
                <w:b/>
                <w:bCs/>
              </w:rPr>
              <w:t xml:space="preserve">for </w:t>
            </w:r>
            <w:r w:rsidRPr="0057299D">
              <w:rPr>
                <w:b/>
                <w:bCs/>
              </w:rPr>
              <w:t xml:space="preserve">Scholarly, Creative, and Professional Activity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28C93F2D" w14:textId="31C8C82E" w:rsidR="0057299D" w:rsidRPr="00BF29D0" w:rsidRDefault="19894D7F">
            <w:pPr>
              <w:rPr>
                <w:b/>
                <w:bCs/>
              </w:rPr>
            </w:pPr>
            <w:r w:rsidRPr="4CD93D45">
              <w:rPr>
                <w:b/>
                <w:bCs/>
              </w:rPr>
              <w:t xml:space="preserve">Guidelines for How Criteria for Scholarly, Creative, and Professional Activity Are </w:t>
            </w:r>
            <w:r w:rsidR="3825F6BA" w:rsidRPr="4CD93D45">
              <w:rPr>
                <w:b/>
                <w:bCs/>
              </w:rPr>
              <w:t>Met</w:t>
            </w:r>
            <w:r w:rsidRPr="4CD93D45">
              <w:rPr>
                <w:b/>
                <w:bCs/>
              </w:rPr>
              <w:t xml:space="preserve"> within Discipline</w:t>
            </w:r>
          </w:p>
        </w:tc>
      </w:tr>
      <w:tr w:rsidR="0057299D" w14:paraId="31ADD769" w14:textId="77777777" w:rsidTr="4CD93D45">
        <w:tc>
          <w:tcPr>
            <w:tcW w:w="4675" w:type="dxa"/>
          </w:tcPr>
          <w:p w14:paraId="71D50E4D" w14:textId="26B9E341" w:rsidR="0057299D" w:rsidRDefault="00073447">
            <w:r w:rsidRPr="00073447">
              <w:rPr>
                <w:b/>
                <w:bCs/>
              </w:rPr>
              <w:t>7.3.2.2 Criteria for Promotion to Associate Professor and/or Tenure</w:t>
            </w:r>
            <w:r w:rsidRPr="00073447">
              <w:t xml:space="preserve">    The candidate will demonstrate that they have contributed to their discipline and/or teaching profession through activities that are directed toward professional peers. The committee expects to see a pattern of scholarly, creative, and professional activity that goes beyond mere attendance at meetings and conferences. Examples of professional activity include but are not limited to: teaching development and/or participation in professional credential development activities; presentations/papers at scholarly and/or professional conferences; holding office in professional organizations; editing a journal; publishing book reviews, journal articles, professional reports and projects, books, or other printed works; winning a grant; participating in exhibitions or performances, or equivalent. For faculty teaching in AACSB-accredited programs, generally, </w:t>
            </w:r>
            <w:r w:rsidRPr="00073447">
              <w:rPr>
                <w:b/>
                <w:bCs/>
              </w:rPr>
              <w:t>professional service activities</w:t>
            </w:r>
            <w:r w:rsidRPr="00073447">
              <w:t xml:space="preserve"> are </w:t>
            </w:r>
            <w:r w:rsidRPr="00073447">
              <w:rPr>
                <w:b/>
                <w:bCs/>
              </w:rPr>
              <w:t>not</w:t>
            </w:r>
            <w:r w:rsidRPr="00073447">
              <w:t xml:space="preserve"> considered research, scholarship, or professional development; instead, organizational and managerial activities while holding office in professional organizations would be considered service to the profession. The candidate and their department shall provide information about the kinds of activities that constitute the scholarly, creative, and professional activity and development appropriate for a faculty member seeking promotion to this rank.</w:t>
            </w:r>
          </w:p>
        </w:tc>
        <w:tc>
          <w:tcPr>
            <w:tcW w:w="4675" w:type="dxa"/>
          </w:tcPr>
          <w:p w14:paraId="6F6C77CD" w14:textId="77777777" w:rsidR="009F6EB6" w:rsidRDefault="009F6EB6" w:rsidP="009F6EB6">
            <w:pPr>
              <w:rPr>
                <w:rFonts w:eastAsia="Times New Roman"/>
                <w:color w:val="000000"/>
              </w:rPr>
            </w:pPr>
            <w:r>
              <w:rPr>
                <w:rFonts w:ascii="Aptos" w:eastAsia="Times New Roman" w:hAnsi="Aptos"/>
                <w:color w:val="000000"/>
              </w:rPr>
              <w:t>The universal criteria in Section 7 of the Faculty Handbook align with the expectations for achieving promotion and/or tenure within this discipline. No further departmental guidelines are recommended for candidates in the preparation of their files.</w:t>
            </w:r>
          </w:p>
          <w:p w14:paraId="15928966" w14:textId="77777777" w:rsidR="0057299D" w:rsidRDefault="0057299D"/>
        </w:tc>
      </w:tr>
    </w:tbl>
    <w:p w14:paraId="36812122" w14:textId="3C487378" w:rsidR="00811B52" w:rsidRDefault="00811B52" w:rsidP="00811B52"/>
    <w:p w14:paraId="12E0F87C" w14:textId="7F70E98D" w:rsidR="00811B52" w:rsidRDefault="00811B52" w:rsidP="00811B52">
      <w:pPr>
        <w:pStyle w:val="Heading2"/>
      </w:pPr>
      <w:r>
        <w:t>Departmental Guidelines for Service</w:t>
      </w:r>
      <w:r w:rsidR="00475FB4">
        <w:t xml:space="preserve"> (</w:t>
      </w:r>
      <w:r w:rsidR="00475FB4" w:rsidRPr="00475FB4">
        <w:t>Promotion to Associate Professor and/or Tenure</w:t>
      </w:r>
      <w:r w:rsidR="00475FB4">
        <w:t>)</w:t>
      </w:r>
    </w:p>
    <w:p w14:paraId="5F75BAA0" w14:textId="420873BE" w:rsidR="00B9426C" w:rsidRDefault="00B9426C" w:rsidP="00B9426C">
      <w:pPr>
        <w:pStyle w:val="Caption"/>
        <w:keepNext/>
      </w:pPr>
      <w:r>
        <w:t xml:space="preserve">Table </w:t>
      </w:r>
      <w:r w:rsidR="00000000">
        <w:fldChar w:fldCharType="begin"/>
      </w:r>
      <w:r w:rsidR="00000000">
        <w:instrText xml:space="preserve"> SEQ Table \* ARABIC </w:instrText>
      </w:r>
      <w:r w:rsidR="00000000">
        <w:fldChar w:fldCharType="separate"/>
      </w:r>
      <w:r w:rsidR="00212F1B">
        <w:rPr>
          <w:noProof/>
        </w:rPr>
        <w:t>6</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7F04C2" w:rsidRPr="00BF29D0" w14:paraId="40351DA8" w14:textId="77777777" w:rsidTr="4CD93D45">
        <w:tc>
          <w:tcPr>
            <w:tcW w:w="4675" w:type="dxa"/>
            <w:shd w:val="clear" w:color="auto" w:fill="C1E4F5" w:themeFill="accent1" w:themeFillTint="33"/>
          </w:tcPr>
          <w:p w14:paraId="45168767" w14:textId="77777777" w:rsidR="007F04C2" w:rsidRPr="00BF29D0" w:rsidRDefault="007F04C2">
            <w:pPr>
              <w:rPr>
                <w:b/>
                <w:bCs/>
                <w:i/>
                <w:iCs/>
              </w:rPr>
            </w:pPr>
            <w:r w:rsidRPr="00BF29D0">
              <w:rPr>
                <w:b/>
                <w:bCs/>
              </w:rPr>
              <w:t xml:space="preserve">Criteria </w:t>
            </w:r>
            <w:r>
              <w:rPr>
                <w:b/>
                <w:bCs/>
              </w:rPr>
              <w:t>for Service</w:t>
            </w:r>
            <w:r w:rsidRPr="0057299D">
              <w:rPr>
                <w:b/>
                <w:bCs/>
              </w:rPr>
              <w:t xml:space="preserve">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0C5551F0" w14:textId="1E075F7A" w:rsidR="007F04C2" w:rsidRPr="00BF29D0" w:rsidRDefault="57122CD4">
            <w:pPr>
              <w:rPr>
                <w:b/>
                <w:bCs/>
              </w:rPr>
            </w:pPr>
            <w:r w:rsidRPr="4CD93D45">
              <w:rPr>
                <w:b/>
                <w:bCs/>
              </w:rPr>
              <w:t xml:space="preserve">Guidelines for How Criteria for Service Are </w:t>
            </w:r>
            <w:r w:rsidR="626C5926" w:rsidRPr="4CD93D45">
              <w:rPr>
                <w:b/>
                <w:bCs/>
              </w:rPr>
              <w:t>Met</w:t>
            </w:r>
            <w:r w:rsidRPr="4CD93D45">
              <w:rPr>
                <w:b/>
                <w:bCs/>
              </w:rPr>
              <w:t xml:space="preserve"> within Discipline</w:t>
            </w:r>
          </w:p>
        </w:tc>
      </w:tr>
      <w:tr w:rsidR="007F04C2" w14:paraId="12AA9225" w14:textId="77777777" w:rsidTr="4CD93D45">
        <w:tc>
          <w:tcPr>
            <w:tcW w:w="4675" w:type="dxa"/>
          </w:tcPr>
          <w:p w14:paraId="50BF9C15" w14:textId="652F2F96" w:rsidR="007F04C2" w:rsidRDefault="006E295B">
            <w:r w:rsidRPr="006E295B">
              <w:rPr>
                <w:b/>
                <w:bCs/>
              </w:rPr>
              <w:t>7.3.3.1 Criteria for Promotion to Senior Lecturer, Promotion to Associate Professor, and/or Tenure</w:t>
            </w:r>
            <w:r w:rsidRPr="006E295B">
              <w:t xml:space="preserve">    The candidate will demonstrate a consistent record of advising, continuing contribution to the department, service to the college and/or University, and/or service to the profession. Service to the department and to the college and/or University is expected for promotion to these ranks. Examples of service include but are not limited to: academic advising; formal service roles at the department level (e.g., departmental committees, department hiring activities, admissions events, website maintenance, Honor Council advising, etc.); formal service roles at the college and/or University level (e.g., committee, working group, advisory council, special assignments, faculty fellows, etc.); and formal service roles within professional organizations. Community outreach activities that rely on a faculty member’s academic expertise and serve to connect the University with the community can also be recognized in this category.</w:t>
            </w:r>
          </w:p>
        </w:tc>
        <w:tc>
          <w:tcPr>
            <w:tcW w:w="4675" w:type="dxa"/>
          </w:tcPr>
          <w:p w14:paraId="2F3CF0E7" w14:textId="77777777" w:rsidR="009F6EB6" w:rsidRDefault="009F6EB6" w:rsidP="009F6EB6">
            <w:pPr>
              <w:rPr>
                <w:rFonts w:eastAsia="Times New Roman"/>
                <w:color w:val="000000"/>
              </w:rPr>
            </w:pPr>
            <w:r>
              <w:rPr>
                <w:rFonts w:ascii="Aptos" w:eastAsia="Times New Roman" w:hAnsi="Aptos"/>
                <w:color w:val="000000"/>
              </w:rPr>
              <w:t>The universal criteria in Section 7 of the Faculty Handbook align with the expectations for achieving promotion and/or tenure within this discipline. No further departmental guidelines are recommended for candidates in the preparation of their files.</w:t>
            </w:r>
          </w:p>
          <w:p w14:paraId="61D3BA9A" w14:textId="77777777" w:rsidR="007F04C2" w:rsidRDefault="007F04C2"/>
        </w:tc>
      </w:tr>
    </w:tbl>
    <w:p w14:paraId="5BA96C6F" w14:textId="086FD3A1" w:rsidR="00811B52" w:rsidRPr="00BE73B8" w:rsidRDefault="00811B52" w:rsidP="00811B52"/>
    <w:p w14:paraId="545BC869" w14:textId="77777777" w:rsidR="00811B52" w:rsidRPr="00BE73B8" w:rsidRDefault="00811B52" w:rsidP="00BE73B8"/>
    <w:p w14:paraId="138E453B" w14:textId="7F329CEB" w:rsidR="00811B52" w:rsidRDefault="00811B52" w:rsidP="00811B52">
      <w:pPr>
        <w:pStyle w:val="Heading1"/>
      </w:pPr>
      <w:r>
        <w:lastRenderedPageBreak/>
        <w:t>Promotion to Full Professor</w:t>
      </w:r>
    </w:p>
    <w:p w14:paraId="5402B323" w14:textId="16585B51" w:rsidR="00811B52" w:rsidRDefault="00811B52" w:rsidP="00811B52">
      <w:pPr>
        <w:pStyle w:val="Heading2"/>
      </w:pPr>
      <w:r>
        <w:t>Departmental Guidelines for Teaching</w:t>
      </w:r>
      <w:r w:rsidR="00475FB4">
        <w:t xml:space="preserve"> (</w:t>
      </w:r>
      <w:r w:rsidR="00475FB4" w:rsidRPr="00475FB4">
        <w:t>Promotion to Full Professor</w:t>
      </w:r>
      <w:r w:rsidR="00475FB4">
        <w:t>)</w:t>
      </w:r>
    </w:p>
    <w:p w14:paraId="242E78F7" w14:textId="71A494AD" w:rsidR="00B9426C" w:rsidRDefault="00B9426C" w:rsidP="00B9426C">
      <w:pPr>
        <w:pStyle w:val="Caption"/>
        <w:keepNext/>
      </w:pPr>
      <w:r>
        <w:t xml:space="preserve">Table </w:t>
      </w:r>
      <w:r w:rsidR="00000000">
        <w:fldChar w:fldCharType="begin"/>
      </w:r>
      <w:r w:rsidR="00000000">
        <w:instrText xml:space="preserve"> SEQ Table \* ARABIC </w:instrText>
      </w:r>
      <w:r w:rsidR="00000000">
        <w:fldChar w:fldCharType="separate"/>
      </w:r>
      <w:r w:rsidR="00212F1B">
        <w:rPr>
          <w:noProof/>
        </w:rPr>
        <w:t>7</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1B6F77" w14:paraId="68E83F05" w14:textId="77777777" w:rsidTr="4CD93D45">
        <w:tc>
          <w:tcPr>
            <w:tcW w:w="4675" w:type="dxa"/>
            <w:shd w:val="clear" w:color="auto" w:fill="C1E4F5" w:themeFill="accent1" w:themeFillTint="33"/>
          </w:tcPr>
          <w:p w14:paraId="1C9F80D8" w14:textId="77777777" w:rsidR="001B6F77" w:rsidRPr="00BF29D0" w:rsidRDefault="001B6F77">
            <w:pPr>
              <w:rPr>
                <w:b/>
                <w:bCs/>
                <w:i/>
                <w:iCs/>
              </w:rPr>
            </w:pPr>
            <w:r w:rsidRPr="00BF29D0">
              <w:rPr>
                <w:b/>
                <w:bCs/>
              </w:rPr>
              <w:t xml:space="preserve">Criteria </w:t>
            </w:r>
            <w:r>
              <w:rPr>
                <w:b/>
                <w:bCs/>
              </w:rPr>
              <w:t xml:space="preserve">for Teaching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2E1EA68D" w14:textId="314B05FE" w:rsidR="001B6F77" w:rsidRPr="00BF29D0" w:rsidRDefault="001B6F77">
            <w:pPr>
              <w:rPr>
                <w:b/>
                <w:bCs/>
              </w:rPr>
            </w:pPr>
            <w:r w:rsidRPr="4CD93D45">
              <w:rPr>
                <w:b/>
                <w:bCs/>
              </w:rPr>
              <w:t xml:space="preserve">Guidelines for How Criteria for Teaching Are </w:t>
            </w:r>
            <w:r w:rsidR="5CF632AB" w:rsidRPr="4CD93D45">
              <w:rPr>
                <w:b/>
                <w:bCs/>
              </w:rPr>
              <w:t>Met</w:t>
            </w:r>
            <w:r w:rsidRPr="4CD93D45">
              <w:rPr>
                <w:b/>
                <w:bCs/>
              </w:rPr>
              <w:t xml:space="preserve"> within Discipline</w:t>
            </w:r>
          </w:p>
        </w:tc>
      </w:tr>
      <w:tr w:rsidR="001B6F77" w14:paraId="1A092DBF" w14:textId="77777777" w:rsidTr="4CD93D45">
        <w:tc>
          <w:tcPr>
            <w:tcW w:w="4675" w:type="dxa"/>
          </w:tcPr>
          <w:p w14:paraId="30C68DD1" w14:textId="77777777" w:rsidR="001B6F77" w:rsidRDefault="001B6F77">
            <w:r w:rsidRPr="002F5B27">
              <w:rPr>
                <w:b/>
                <w:bCs/>
              </w:rPr>
              <w:t>7.3.1 GENERAL CRITERIA FOR TEACHING</w:t>
            </w:r>
            <w:r w:rsidRPr="002F5B27">
              <w:t xml:space="preserve"> The candidate for promotion and/or tenure must demonstrate effective and innovative teaching by showing that they have exhibited effort, skill, reflection, dedication to student learning, flexibility, and current knowledge of the discipline. Effective teaching is, in and of itself, a significant achievement, and the University gives it high priority in evaluating every faculty member’s performance. The candidate must demonstrate a pattern of effective teaching during the evaluation period, as indicated by evidence from multiple sources, including (but not limited to): student feedback; colleagues’ testimonials; quality of syllabi, teaching materials, and assignments. The University also recognizes the value of substantial contributions to the curriculum; course improvement through revision of content and method; development of new courses, development of across-the-curriculum courses; contributions to interdisciplinary student learning experiences; and involvement and success in individual instruction or mentoring of students, as evidenced by student research, creative work, presentations, or publications in departmental or campus venues (note that external venues are ordinarily considered professional activity).</w:t>
            </w:r>
          </w:p>
        </w:tc>
        <w:tc>
          <w:tcPr>
            <w:tcW w:w="4675" w:type="dxa"/>
          </w:tcPr>
          <w:p w14:paraId="4FF2AA74" w14:textId="77777777" w:rsidR="009F6EB6" w:rsidRDefault="009F6EB6" w:rsidP="009F6EB6">
            <w:pPr>
              <w:rPr>
                <w:rFonts w:eastAsia="Times New Roman"/>
                <w:color w:val="000000"/>
              </w:rPr>
            </w:pPr>
            <w:r>
              <w:rPr>
                <w:rFonts w:ascii="Aptos" w:eastAsia="Times New Roman" w:hAnsi="Aptos"/>
                <w:color w:val="000000"/>
              </w:rPr>
              <w:t>The universal criteria in Section 7 of the Faculty Handbook align with the expectations for achieving promotion and/or tenure within this discipline. No further departmental guidelines are recommended for candidates in the preparation of their files.</w:t>
            </w:r>
          </w:p>
          <w:p w14:paraId="4C3B4D16" w14:textId="77777777" w:rsidR="001B6F77" w:rsidRDefault="001B6F77"/>
        </w:tc>
      </w:tr>
    </w:tbl>
    <w:p w14:paraId="6D2CA950" w14:textId="77777777" w:rsidR="001B6F77" w:rsidRDefault="001B6F77" w:rsidP="001B6F77"/>
    <w:p w14:paraId="069F233B" w14:textId="216E3978" w:rsidR="00811B52" w:rsidRDefault="00811B52" w:rsidP="00811B52"/>
    <w:p w14:paraId="221735EC" w14:textId="77303E4B" w:rsidR="00811B52" w:rsidRDefault="00811B52" w:rsidP="00811B52">
      <w:pPr>
        <w:pStyle w:val="Heading2"/>
      </w:pPr>
      <w:r>
        <w:lastRenderedPageBreak/>
        <w:t>Departmental Guidelines for Scholarly, Creative, and Professional Activity</w:t>
      </w:r>
      <w:r w:rsidR="00475FB4">
        <w:t xml:space="preserve"> (</w:t>
      </w:r>
      <w:r w:rsidR="00475FB4" w:rsidRPr="00475FB4">
        <w:t>Promotion to Full Professor</w:t>
      </w:r>
      <w:r w:rsidR="00475FB4">
        <w:t>)</w:t>
      </w:r>
    </w:p>
    <w:p w14:paraId="13B58790" w14:textId="1E94D2DB" w:rsidR="00212F1B" w:rsidRDefault="00212F1B" w:rsidP="00212F1B">
      <w:pPr>
        <w:pStyle w:val="Caption"/>
        <w:keepNext/>
      </w:pPr>
      <w:r>
        <w:t xml:space="preserve">Table </w:t>
      </w:r>
      <w:r w:rsidR="00000000">
        <w:fldChar w:fldCharType="begin"/>
      </w:r>
      <w:r w:rsidR="00000000">
        <w:instrText xml:space="preserve"> SEQ Table \* ARABIC </w:instrText>
      </w:r>
      <w:r w:rsidR="00000000">
        <w:fldChar w:fldCharType="separate"/>
      </w:r>
      <w:r>
        <w:rPr>
          <w:noProof/>
        </w:rPr>
        <w:t>8</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7E7EA6" w:rsidRPr="00BF29D0" w14:paraId="5A33A472" w14:textId="77777777" w:rsidTr="4CD93D45">
        <w:tc>
          <w:tcPr>
            <w:tcW w:w="4675" w:type="dxa"/>
            <w:shd w:val="clear" w:color="auto" w:fill="C1E4F5" w:themeFill="accent1" w:themeFillTint="33"/>
          </w:tcPr>
          <w:p w14:paraId="17756E26" w14:textId="77777777" w:rsidR="007E7EA6" w:rsidRPr="00BF29D0" w:rsidRDefault="007E7EA6">
            <w:pPr>
              <w:rPr>
                <w:b/>
                <w:bCs/>
                <w:i/>
                <w:iCs/>
              </w:rPr>
            </w:pPr>
            <w:r w:rsidRPr="00BF29D0">
              <w:rPr>
                <w:b/>
                <w:bCs/>
              </w:rPr>
              <w:t xml:space="preserve">Criteria </w:t>
            </w:r>
            <w:r>
              <w:rPr>
                <w:b/>
                <w:bCs/>
              </w:rPr>
              <w:t xml:space="preserve">for </w:t>
            </w:r>
            <w:r w:rsidRPr="0057299D">
              <w:rPr>
                <w:b/>
                <w:bCs/>
              </w:rPr>
              <w:t xml:space="preserve">Scholarly, Creative, and Professional Activity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0F0F54C4" w14:textId="0CF69292" w:rsidR="007E7EA6" w:rsidRPr="00BF29D0" w:rsidRDefault="40C0516B">
            <w:pPr>
              <w:rPr>
                <w:b/>
                <w:bCs/>
              </w:rPr>
            </w:pPr>
            <w:r w:rsidRPr="4CD93D45">
              <w:rPr>
                <w:b/>
                <w:bCs/>
              </w:rPr>
              <w:t xml:space="preserve">Guidelines for How Criteria for Scholarly, Creative, and Professional Activity Are </w:t>
            </w:r>
            <w:r w:rsidR="0BC56D97" w:rsidRPr="4CD93D45">
              <w:rPr>
                <w:b/>
                <w:bCs/>
              </w:rPr>
              <w:t>Met</w:t>
            </w:r>
            <w:r w:rsidRPr="4CD93D45">
              <w:rPr>
                <w:b/>
                <w:bCs/>
              </w:rPr>
              <w:t xml:space="preserve"> within Discipline</w:t>
            </w:r>
          </w:p>
        </w:tc>
      </w:tr>
      <w:tr w:rsidR="007E7EA6" w14:paraId="7E586639" w14:textId="77777777" w:rsidTr="4CD93D45">
        <w:tc>
          <w:tcPr>
            <w:tcW w:w="4675" w:type="dxa"/>
          </w:tcPr>
          <w:p w14:paraId="0A38931F" w14:textId="0D8F9381" w:rsidR="007E7EA6" w:rsidRDefault="001544D6">
            <w:r w:rsidRPr="001544D6">
              <w:rPr>
                <w:b/>
                <w:bCs/>
              </w:rPr>
              <w:t>7.3.2.3 Criteria for Promotion to Full Professor</w:t>
            </w:r>
            <w:r w:rsidRPr="001544D6">
              <w:t xml:space="preserve">    The candidate will demonstrate the achievement of recognition within the discipline. The successful candidate for the rank of professor will demonstrate, as well as support with argument and other evidence, that they have received such recognition. The candidate will include in their file three or more letters from external evaluators that address this issue of recognition. The University expects to see a pattern of significant scholarly, creative, and professional activity within the evaluation period. Examples of significant professional activity include but are not limited to: significant teaching development and/or participation in professional credential development activities; frequent and regular presentations/papers at scholarly and/or professional conferences; holding office in professional organizations; editing a journal; publishing book reviews, journal articles (especially refereed), professional reports or projects, books, or other printed works; winning a grant; participating in exhibitions or performances, or equivalent. For faculty teaching in AACSB-accredited programs, generally, </w:t>
            </w:r>
            <w:r w:rsidRPr="001544D6">
              <w:rPr>
                <w:b/>
                <w:bCs/>
              </w:rPr>
              <w:t xml:space="preserve">professional service activities </w:t>
            </w:r>
            <w:r w:rsidRPr="001544D6">
              <w:t>are</w:t>
            </w:r>
            <w:r w:rsidRPr="001544D6">
              <w:rPr>
                <w:b/>
                <w:bCs/>
              </w:rPr>
              <w:t xml:space="preserve"> not</w:t>
            </w:r>
            <w:r w:rsidRPr="001544D6">
              <w:t xml:space="preserve"> considered research, scholarship or professional development; instead, organizational and managerial activities while holding office in professional organizations would be considered service to the profession. The </w:t>
            </w:r>
            <w:r w:rsidRPr="001544D6">
              <w:lastRenderedPageBreak/>
              <w:t>candidate and their department shall provide information about the kinds of activities that constitute the scholarly, creative, and professional activity and development appropriate for a faculty member seeking promotion to this rank.</w:t>
            </w:r>
          </w:p>
        </w:tc>
        <w:tc>
          <w:tcPr>
            <w:tcW w:w="4675" w:type="dxa"/>
          </w:tcPr>
          <w:p w14:paraId="2B820A7F" w14:textId="77777777" w:rsidR="009F6EB6" w:rsidRDefault="009F6EB6" w:rsidP="009F6EB6">
            <w:pPr>
              <w:rPr>
                <w:rFonts w:eastAsia="Times New Roman"/>
                <w:color w:val="000000"/>
              </w:rPr>
            </w:pPr>
            <w:r>
              <w:rPr>
                <w:rFonts w:ascii="Aptos" w:eastAsia="Times New Roman" w:hAnsi="Aptos"/>
                <w:color w:val="000000"/>
              </w:rPr>
              <w:lastRenderedPageBreak/>
              <w:t>The universal criteria in Section 7 of the Faculty Handbook align with the expectations for achieving promotion and/or tenure within this discipline. No further departmental guidelines are recommended for candidates in the preparation of their files.</w:t>
            </w:r>
          </w:p>
          <w:p w14:paraId="3770D2EC" w14:textId="77777777" w:rsidR="007E7EA6" w:rsidRDefault="007E7EA6"/>
        </w:tc>
      </w:tr>
    </w:tbl>
    <w:p w14:paraId="6F7C6E02" w14:textId="0045F931" w:rsidR="00811B52" w:rsidRDefault="00811B52" w:rsidP="00811B52"/>
    <w:p w14:paraId="13952350" w14:textId="7E3F7FF0" w:rsidR="00811B52" w:rsidRDefault="00811B52" w:rsidP="00811B52">
      <w:pPr>
        <w:pStyle w:val="Heading2"/>
      </w:pPr>
      <w:r>
        <w:t>Departmental Guidelines for Service</w:t>
      </w:r>
      <w:r w:rsidR="00475FB4">
        <w:t xml:space="preserve"> (</w:t>
      </w:r>
      <w:r w:rsidR="00475FB4" w:rsidRPr="00475FB4">
        <w:t>Promotion to Full Professor</w:t>
      </w:r>
      <w:r w:rsidR="00475FB4">
        <w:t>)</w:t>
      </w:r>
    </w:p>
    <w:p w14:paraId="01587995" w14:textId="711E52EC" w:rsidR="00212F1B" w:rsidRDefault="00212F1B" w:rsidP="00212F1B">
      <w:pPr>
        <w:pStyle w:val="Caption"/>
        <w:keepNext/>
      </w:pPr>
      <w:r>
        <w:t xml:space="preserve">Table </w:t>
      </w:r>
      <w:r w:rsidR="00000000">
        <w:fldChar w:fldCharType="begin"/>
      </w:r>
      <w:r w:rsidR="00000000">
        <w:instrText xml:space="preserve"> SEQ Table \* ARABIC </w:instrText>
      </w:r>
      <w:r w:rsidR="00000000">
        <w:fldChar w:fldCharType="separate"/>
      </w:r>
      <w:r>
        <w:rPr>
          <w:noProof/>
        </w:rPr>
        <w:t>9</w:t>
      </w:r>
      <w:r w:rsidR="00000000">
        <w:rPr>
          <w:noProof/>
        </w:rPr>
        <w:fldChar w:fldCharType="end"/>
      </w:r>
    </w:p>
    <w:tbl>
      <w:tblPr>
        <w:tblStyle w:val="TableGrid"/>
        <w:tblW w:w="0" w:type="auto"/>
        <w:tblLook w:val="04A0" w:firstRow="1" w:lastRow="0" w:firstColumn="1" w:lastColumn="0" w:noHBand="0" w:noVBand="1"/>
      </w:tblPr>
      <w:tblGrid>
        <w:gridCol w:w="4675"/>
        <w:gridCol w:w="4675"/>
      </w:tblGrid>
      <w:tr w:rsidR="007F04C2" w:rsidRPr="00BF29D0" w14:paraId="6095B8B7" w14:textId="77777777" w:rsidTr="4CD93D45">
        <w:tc>
          <w:tcPr>
            <w:tcW w:w="4675" w:type="dxa"/>
            <w:shd w:val="clear" w:color="auto" w:fill="C1E4F5" w:themeFill="accent1" w:themeFillTint="33"/>
          </w:tcPr>
          <w:p w14:paraId="047E9E34" w14:textId="77777777" w:rsidR="007F04C2" w:rsidRPr="00BF29D0" w:rsidRDefault="007F04C2">
            <w:pPr>
              <w:rPr>
                <w:b/>
                <w:bCs/>
                <w:i/>
                <w:iCs/>
              </w:rPr>
            </w:pPr>
            <w:r w:rsidRPr="00BF29D0">
              <w:rPr>
                <w:b/>
                <w:bCs/>
              </w:rPr>
              <w:t xml:space="preserve">Criteria </w:t>
            </w:r>
            <w:r>
              <w:rPr>
                <w:b/>
                <w:bCs/>
              </w:rPr>
              <w:t>for Service</w:t>
            </w:r>
            <w:r w:rsidRPr="0057299D">
              <w:rPr>
                <w:b/>
                <w:bCs/>
              </w:rPr>
              <w:t xml:space="preserve"> </w:t>
            </w:r>
            <w:r w:rsidRPr="00BF29D0">
              <w:rPr>
                <w:b/>
                <w:bCs/>
              </w:rPr>
              <w:t xml:space="preserve">in Section 7 of the </w:t>
            </w:r>
            <w:r w:rsidRPr="00BF29D0">
              <w:rPr>
                <w:b/>
                <w:bCs/>
                <w:i/>
                <w:iCs/>
              </w:rPr>
              <w:t>Faculty Handbook</w:t>
            </w:r>
          </w:p>
        </w:tc>
        <w:tc>
          <w:tcPr>
            <w:tcW w:w="4675" w:type="dxa"/>
            <w:shd w:val="clear" w:color="auto" w:fill="C1E4F5" w:themeFill="accent1" w:themeFillTint="33"/>
          </w:tcPr>
          <w:p w14:paraId="0887E62B" w14:textId="75E9646E" w:rsidR="007F04C2" w:rsidRPr="00BF29D0" w:rsidRDefault="57122CD4">
            <w:pPr>
              <w:rPr>
                <w:b/>
                <w:bCs/>
              </w:rPr>
            </w:pPr>
            <w:r w:rsidRPr="4CD93D45">
              <w:rPr>
                <w:b/>
                <w:bCs/>
              </w:rPr>
              <w:t xml:space="preserve">Guidelines for How Criteria for Service Are </w:t>
            </w:r>
            <w:r w:rsidR="69824A50" w:rsidRPr="4CD93D45">
              <w:rPr>
                <w:b/>
                <w:bCs/>
              </w:rPr>
              <w:t>Met</w:t>
            </w:r>
            <w:r w:rsidRPr="4CD93D45">
              <w:rPr>
                <w:b/>
                <w:bCs/>
              </w:rPr>
              <w:t xml:space="preserve"> within Discipline</w:t>
            </w:r>
          </w:p>
        </w:tc>
      </w:tr>
      <w:tr w:rsidR="007F04C2" w14:paraId="6DFBC24B" w14:textId="77777777" w:rsidTr="4CD93D45">
        <w:tc>
          <w:tcPr>
            <w:tcW w:w="4675" w:type="dxa"/>
          </w:tcPr>
          <w:p w14:paraId="6ADC2E0D" w14:textId="465306A5" w:rsidR="007F04C2" w:rsidRDefault="00475FB4">
            <w:r w:rsidRPr="00475FB4">
              <w:rPr>
                <w:b/>
                <w:bCs/>
              </w:rPr>
              <w:t>7.3.3.2 Criteria for Promotion to Full Professor</w:t>
            </w:r>
            <w:r w:rsidRPr="00475FB4">
              <w:t xml:space="preserve">    The candidate will demonstrate a significant record of advising, continuing contribution to the department, service to the college and/or University, and/or service to the profession. Service to the department and to the college and/or University is expected for promotion to this rank. In addition to the service roles listed in § 7.3.3.1, the candidate must also demonstrate effective leadership in service, as indicated by but not limited to: substantial contribution to a committee’s work; organizing events; lending one’s professional expertise to the community beyond the University; holding committee offices within and/or beyond the University; and bringing motions to shared governance or committee structures.</w:t>
            </w:r>
          </w:p>
        </w:tc>
        <w:tc>
          <w:tcPr>
            <w:tcW w:w="4675" w:type="dxa"/>
          </w:tcPr>
          <w:p w14:paraId="36D96242" w14:textId="77777777" w:rsidR="009F6EB6" w:rsidRDefault="009F6EB6" w:rsidP="009F6EB6">
            <w:pPr>
              <w:rPr>
                <w:rFonts w:eastAsia="Times New Roman"/>
                <w:color w:val="000000"/>
              </w:rPr>
            </w:pPr>
            <w:r>
              <w:rPr>
                <w:rFonts w:ascii="Aptos" w:eastAsia="Times New Roman" w:hAnsi="Aptos"/>
                <w:color w:val="000000"/>
              </w:rPr>
              <w:t>The universal criteria in Section 7 of the Faculty Handbook align with the expectations for achieving promotion and/or tenure within this discipline. No further departmental guidelines are recommended for candidates in the preparation of their files.</w:t>
            </w:r>
          </w:p>
          <w:p w14:paraId="1BDFA64E" w14:textId="77777777" w:rsidR="007F04C2" w:rsidRDefault="007F04C2"/>
        </w:tc>
      </w:tr>
    </w:tbl>
    <w:p w14:paraId="5B786CC8" w14:textId="4E0A8434" w:rsidR="00811B52" w:rsidRPr="00BE73B8" w:rsidRDefault="00811B52" w:rsidP="00811B52"/>
    <w:p w14:paraId="29E01C40" w14:textId="77777777" w:rsidR="00BE73B8" w:rsidRPr="00BE73B8" w:rsidRDefault="00BE73B8" w:rsidP="00BE73B8"/>
    <w:sectPr w:rsidR="00BE73B8" w:rsidRPr="00BE73B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00970" w14:textId="77777777" w:rsidR="000A5F24" w:rsidRDefault="000A5F24" w:rsidP="00FD4E05">
      <w:pPr>
        <w:spacing w:after="0" w:line="240" w:lineRule="auto"/>
      </w:pPr>
      <w:r>
        <w:separator/>
      </w:r>
    </w:p>
  </w:endnote>
  <w:endnote w:type="continuationSeparator" w:id="0">
    <w:p w14:paraId="0BA24FF6" w14:textId="77777777" w:rsidR="000A5F24" w:rsidRDefault="000A5F24" w:rsidP="00FD4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92803" w14:textId="47FE6C09" w:rsidR="00FD4E05" w:rsidRDefault="00FD4E05" w:rsidP="00FD4E05">
    <w:pPr>
      <w:pStyle w:val="Footer"/>
      <w:jc w:val="right"/>
    </w:pPr>
    <w:r>
      <w:t xml:space="preserve">Approved by UFAC </w:t>
    </w:r>
    <w:r w:rsidR="001F55F2">
      <w:t>3/23/26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53CDB" w14:textId="77777777" w:rsidR="000A5F24" w:rsidRDefault="000A5F24" w:rsidP="00FD4E05">
      <w:pPr>
        <w:spacing w:after="0" w:line="240" w:lineRule="auto"/>
      </w:pPr>
      <w:r>
        <w:separator/>
      </w:r>
    </w:p>
  </w:footnote>
  <w:footnote w:type="continuationSeparator" w:id="0">
    <w:p w14:paraId="229F78E8" w14:textId="77777777" w:rsidR="000A5F24" w:rsidRDefault="000A5F24" w:rsidP="00FD4E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737"/>
    <w:rsid w:val="000702F4"/>
    <w:rsid w:val="00073447"/>
    <w:rsid w:val="000A5F24"/>
    <w:rsid w:val="000D7B1F"/>
    <w:rsid w:val="00133CB0"/>
    <w:rsid w:val="001544D6"/>
    <w:rsid w:val="001B6F77"/>
    <w:rsid w:val="001D4569"/>
    <w:rsid w:val="001F55F2"/>
    <w:rsid w:val="00212F1B"/>
    <w:rsid w:val="00221146"/>
    <w:rsid w:val="002F5B27"/>
    <w:rsid w:val="002F7737"/>
    <w:rsid w:val="003346DA"/>
    <w:rsid w:val="00382CAF"/>
    <w:rsid w:val="003C3755"/>
    <w:rsid w:val="003F75D1"/>
    <w:rsid w:val="00400B18"/>
    <w:rsid w:val="00475FB4"/>
    <w:rsid w:val="004A7A68"/>
    <w:rsid w:val="004F0CAF"/>
    <w:rsid w:val="0050064F"/>
    <w:rsid w:val="0057299D"/>
    <w:rsid w:val="005A7D6E"/>
    <w:rsid w:val="005E7DDA"/>
    <w:rsid w:val="0063611D"/>
    <w:rsid w:val="00694ADF"/>
    <w:rsid w:val="006C03EE"/>
    <w:rsid w:val="006E295B"/>
    <w:rsid w:val="00743797"/>
    <w:rsid w:val="007E7EA6"/>
    <w:rsid w:val="007F04C2"/>
    <w:rsid w:val="007F3CF5"/>
    <w:rsid w:val="00811B52"/>
    <w:rsid w:val="008364FA"/>
    <w:rsid w:val="0085179E"/>
    <w:rsid w:val="008F42B4"/>
    <w:rsid w:val="009A3F38"/>
    <w:rsid w:val="009F6EB6"/>
    <w:rsid w:val="00A1069C"/>
    <w:rsid w:val="00A11151"/>
    <w:rsid w:val="00A7430E"/>
    <w:rsid w:val="00AF6F67"/>
    <w:rsid w:val="00B1642C"/>
    <w:rsid w:val="00B356B8"/>
    <w:rsid w:val="00B9426C"/>
    <w:rsid w:val="00B9758C"/>
    <w:rsid w:val="00BA7C1B"/>
    <w:rsid w:val="00BE73B8"/>
    <w:rsid w:val="00BF29D0"/>
    <w:rsid w:val="00C14D71"/>
    <w:rsid w:val="00C4039D"/>
    <w:rsid w:val="00C40CF1"/>
    <w:rsid w:val="00C81926"/>
    <w:rsid w:val="00C945C2"/>
    <w:rsid w:val="00D46436"/>
    <w:rsid w:val="00D53F1E"/>
    <w:rsid w:val="00D60D40"/>
    <w:rsid w:val="00E1102B"/>
    <w:rsid w:val="00E34DFA"/>
    <w:rsid w:val="00E57113"/>
    <w:rsid w:val="00E57C36"/>
    <w:rsid w:val="00E72CD5"/>
    <w:rsid w:val="00E81960"/>
    <w:rsid w:val="00F91E49"/>
    <w:rsid w:val="00FA0521"/>
    <w:rsid w:val="00FB6944"/>
    <w:rsid w:val="00FD4E05"/>
    <w:rsid w:val="00FE2448"/>
    <w:rsid w:val="00FF1E37"/>
    <w:rsid w:val="050F51CE"/>
    <w:rsid w:val="0BC56D97"/>
    <w:rsid w:val="19894D7F"/>
    <w:rsid w:val="1FF27839"/>
    <w:rsid w:val="2099D0CB"/>
    <w:rsid w:val="2DCF7C9C"/>
    <w:rsid w:val="3825F6BA"/>
    <w:rsid w:val="40C0516B"/>
    <w:rsid w:val="4CD93D45"/>
    <w:rsid w:val="57122CD4"/>
    <w:rsid w:val="5CF632AB"/>
    <w:rsid w:val="626C5926"/>
    <w:rsid w:val="69824A50"/>
    <w:rsid w:val="774E8824"/>
    <w:rsid w:val="7BFEBB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AEDFD"/>
  <w15:chartTrackingRefBased/>
  <w15:docId w15:val="{EF38AD73-38F2-4430-BC75-C04B89808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77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F77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77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77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77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77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77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77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77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7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F77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77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77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77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77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77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77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7737"/>
    <w:rPr>
      <w:rFonts w:eastAsiaTheme="majorEastAsia" w:cstheme="majorBidi"/>
      <w:color w:val="272727" w:themeColor="text1" w:themeTint="D8"/>
    </w:rPr>
  </w:style>
  <w:style w:type="paragraph" w:styleId="Title">
    <w:name w:val="Title"/>
    <w:basedOn w:val="Normal"/>
    <w:next w:val="Normal"/>
    <w:link w:val="TitleChar"/>
    <w:uiPriority w:val="10"/>
    <w:qFormat/>
    <w:rsid w:val="002F77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77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77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77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7737"/>
    <w:pPr>
      <w:spacing w:before="160"/>
      <w:jc w:val="center"/>
    </w:pPr>
    <w:rPr>
      <w:i/>
      <w:iCs/>
      <w:color w:val="404040" w:themeColor="text1" w:themeTint="BF"/>
    </w:rPr>
  </w:style>
  <w:style w:type="character" w:customStyle="1" w:styleId="QuoteChar">
    <w:name w:val="Quote Char"/>
    <w:basedOn w:val="DefaultParagraphFont"/>
    <w:link w:val="Quote"/>
    <w:uiPriority w:val="29"/>
    <w:rsid w:val="002F7737"/>
    <w:rPr>
      <w:i/>
      <w:iCs/>
      <w:color w:val="404040" w:themeColor="text1" w:themeTint="BF"/>
    </w:rPr>
  </w:style>
  <w:style w:type="paragraph" w:styleId="ListParagraph">
    <w:name w:val="List Paragraph"/>
    <w:basedOn w:val="Normal"/>
    <w:uiPriority w:val="34"/>
    <w:qFormat/>
    <w:rsid w:val="002F7737"/>
    <w:pPr>
      <w:ind w:left="720"/>
      <w:contextualSpacing/>
    </w:pPr>
  </w:style>
  <w:style w:type="character" w:styleId="IntenseEmphasis">
    <w:name w:val="Intense Emphasis"/>
    <w:basedOn w:val="DefaultParagraphFont"/>
    <w:uiPriority w:val="21"/>
    <w:qFormat/>
    <w:rsid w:val="002F7737"/>
    <w:rPr>
      <w:i/>
      <w:iCs/>
      <w:color w:val="0F4761" w:themeColor="accent1" w:themeShade="BF"/>
    </w:rPr>
  </w:style>
  <w:style w:type="paragraph" w:styleId="IntenseQuote">
    <w:name w:val="Intense Quote"/>
    <w:basedOn w:val="Normal"/>
    <w:next w:val="Normal"/>
    <w:link w:val="IntenseQuoteChar"/>
    <w:uiPriority w:val="30"/>
    <w:qFormat/>
    <w:rsid w:val="002F77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7737"/>
    <w:rPr>
      <w:i/>
      <w:iCs/>
      <w:color w:val="0F4761" w:themeColor="accent1" w:themeShade="BF"/>
    </w:rPr>
  </w:style>
  <w:style w:type="character" w:styleId="IntenseReference">
    <w:name w:val="Intense Reference"/>
    <w:basedOn w:val="DefaultParagraphFont"/>
    <w:uiPriority w:val="32"/>
    <w:qFormat/>
    <w:rsid w:val="002F7737"/>
    <w:rPr>
      <w:b/>
      <w:bCs/>
      <w:smallCaps/>
      <w:color w:val="0F4761" w:themeColor="accent1" w:themeShade="BF"/>
      <w:spacing w:val="5"/>
    </w:rPr>
  </w:style>
  <w:style w:type="paragraph" w:styleId="Header">
    <w:name w:val="header"/>
    <w:basedOn w:val="Normal"/>
    <w:link w:val="HeaderChar"/>
    <w:uiPriority w:val="99"/>
    <w:unhideWhenUsed/>
    <w:rsid w:val="00FD4E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E05"/>
  </w:style>
  <w:style w:type="paragraph" w:styleId="Footer">
    <w:name w:val="footer"/>
    <w:basedOn w:val="Normal"/>
    <w:link w:val="FooterChar"/>
    <w:uiPriority w:val="99"/>
    <w:unhideWhenUsed/>
    <w:rsid w:val="00FD4E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4E05"/>
  </w:style>
  <w:style w:type="table" w:styleId="TableGrid">
    <w:name w:val="Table Grid"/>
    <w:basedOn w:val="TableNormal"/>
    <w:uiPriority w:val="39"/>
    <w:rsid w:val="00B16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E57C36"/>
    <w:pPr>
      <w:spacing w:line="240" w:lineRule="auto"/>
    </w:pPr>
    <w:rPr>
      <w:sz w:val="20"/>
      <w:szCs w:val="20"/>
    </w:rPr>
  </w:style>
  <w:style w:type="character" w:customStyle="1" w:styleId="CommentTextChar">
    <w:name w:val="Comment Text Char"/>
    <w:basedOn w:val="DefaultParagraphFont"/>
    <w:link w:val="CommentText"/>
    <w:uiPriority w:val="99"/>
    <w:semiHidden/>
    <w:rsid w:val="00E57C36"/>
    <w:rPr>
      <w:sz w:val="20"/>
      <w:szCs w:val="20"/>
    </w:rPr>
  </w:style>
  <w:style w:type="character" w:styleId="CommentReference">
    <w:name w:val="annotation reference"/>
    <w:basedOn w:val="DefaultParagraphFont"/>
    <w:uiPriority w:val="99"/>
    <w:semiHidden/>
    <w:unhideWhenUsed/>
    <w:rsid w:val="00E57C36"/>
    <w:rPr>
      <w:sz w:val="16"/>
      <w:szCs w:val="16"/>
    </w:rPr>
  </w:style>
  <w:style w:type="paragraph" w:styleId="Caption">
    <w:name w:val="caption"/>
    <w:basedOn w:val="Normal"/>
    <w:next w:val="Normal"/>
    <w:uiPriority w:val="35"/>
    <w:unhideWhenUsed/>
    <w:qFormat/>
    <w:rsid w:val="00B9426C"/>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1289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STag3 xmlns="9033de13-fd7a-4061-b208-134d2440ed20" xsi:nil="true"/>
    <LSTag2 xmlns="9033de13-fd7a-4061-b208-134d2440ed20" xsi:nil="true"/>
    <LSTag1 xmlns="9033de13-fd7a-4061-b208-134d2440ed20" xsi:nil="true"/>
    <LSTag4 xmlns="9033de13-fd7a-4061-b208-134d2440ed2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FC277DE4C99A342A954A3EA21AF6FFE" ma:contentTypeVersion="8" ma:contentTypeDescription="Create a new document." ma:contentTypeScope="" ma:versionID="72ec56e044de015eb480168cb047e61c">
  <xsd:schema xmlns:xsd="http://www.w3.org/2001/XMLSchema" xmlns:xs="http://www.w3.org/2001/XMLSchema" xmlns:p="http://schemas.microsoft.com/office/2006/metadata/properties" xmlns:ns2="8913b55c-c562-4e70-8abe-0b44daff9ffb" xmlns:ns3="9033de13-fd7a-4061-b208-134d2440ed20" targetNamespace="http://schemas.microsoft.com/office/2006/metadata/properties" ma:root="true" ma:fieldsID="52c29fab3f9ca19ab0f6c6bd49ae7137" ns2:_="" ns3:_="">
    <xsd:import namespace="8913b55c-c562-4e70-8abe-0b44daff9ffb"/>
    <xsd:import namespace="9033de13-fd7a-4061-b208-134d2440ed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LSTag1" minOccurs="0"/>
                <xsd:element ref="ns3:LSTag2" minOccurs="0"/>
                <xsd:element ref="ns3:LSTag3" minOccurs="0"/>
                <xsd:element ref="ns3:LSTag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13b55c-c562-4e70-8abe-0b44daff9f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33de13-fd7a-4061-b208-134d2440ed20" elementFormDefault="qualified">
    <xsd:import namespace="http://schemas.microsoft.com/office/2006/documentManagement/types"/>
    <xsd:import namespace="http://schemas.microsoft.com/office/infopath/2007/PartnerControls"/>
    <xsd:element name="LSTag1" ma:index="12" nillable="true" ma:displayName="LSTag1" ma:hidden="true" ma:internalName="LSTag1">
      <xsd:simpleType>
        <xsd:restriction base="dms:Note"/>
      </xsd:simpleType>
    </xsd:element>
    <xsd:element name="LSTag2" ma:index="13" nillable="true" ma:displayName="LSTag2" ma:hidden="true" ma:internalName="LSTag2">
      <xsd:simpleType>
        <xsd:restriction base="dms:Note"/>
      </xsd:simpleType>
    </xsd:element>
    <xsd:element name="LSTag3" ma:index="14" nillable="true" ma:displayName="LSTag3" ma:hidden="true" ma:internalName="LSTag3">
      <xsd:simpleType>
        <xsd:restriction base="dms:Note"/>
      </xsd:simpleType>
    </xsd:element>
    <xsd:element name="LSTag4" ma:index="15" nillable="true" ma:displayName="LSTag4" ma:hidden="true" ma:internalName="LSTag4">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B88CEE-7426-E643-8BA5-1C2959F95F8E}">
  <ds:schemaRefs>
    <ds:schemaRef ds:uri="http://schemas.openxmlformats.org/officeDocument/2006/bibliography"/>
  </ds:schemaRefs>
</ds:datastoreItem>
</file>

<file path=customXml/itemProps2.xml><?xml version="1.0" encoding="utf-8"?>
<ds:datastoreItem xmlns:ds="http://schemas.openxmlformats.org/officeDocument/2006/customXml" ds:itemID="{EF0E5CE7-D192-4C29-8CA5-A86F2B49DFF1}">
  <ds:schemaRefs>
    <ds:schemaRef ds:uri="http://schemas.microsoft.com/sharepoint/v3/contenttype/forms"/>
  </ds:schemaRefs>
</ds:datastoreItem>
</file>

<file path=customXml/itemProps3.xml><?xml version="1.0" encoding="utf-8"?>
<ds:datastoreItem xmlns:ds="http://schemas.openxmlformats.org/officeDocument/2006/customXml" ds:itemID="{C27317D1-3B21-43FA-ADCE-9CF060066A41}">
  <ds:schemaRefs>
    <ds:schemaRef ds:uri="http://schemas.microsoft.com/office/2006/metadata/properties"/>
    <ds:schemaRef ds:uri="http://schemas.microsoft.com/office/infopath/2007/PartnerControls"/>
    <ds:schemaRef ds:uri="9033de13-fd7a-4061-b208-134d2440ed20"/>
  </ds:schemaRefs>
</ds:datastoreItem>
</file>

<file path=customXml/itemProps4.xml><?xml version="1.0" encoding="utf-8"?>
<ds:datastoreItem xmlns:ds="http://schemas.openxmlformats.org/officeDocument/2006/customXml" ds:itemID="{BA951A31-01C7-4A6A-A65E-C8D7F0DFD6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13b55c-c562-4e70-8abe-0b44daff9ffb"/>
    <ds:schemaRef ds:uri="9033de13-fd7a-4061-b208-134d2440ed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2445</Words>
  <Characters>13943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Wells (mwells)</dc:creator>
  <cp:keywords/>
  <dc:description/>
  <cp:lastModifiedBy>Amy O'Reilly (aoreilly)</cp:lastModifiedBy>
  <cp:revision>2</cp:revision>
  <dcterms:created xsi:type="dcterms:W3CDTF">2026-10-16T19:45:00Z</dcterms:created>
  <dcterms:modified xsi:type="dcterms:W3CDTF">2026-10-16T19:45:00Z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0x0101008FC277DE4C99A342A954A3EA21AF6FFE</vt:lpwstr>
  </property>
</Properties>
</file>