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517DA" w14:textId="04028891" w:rsidR="005E7DDA" w:rsidRDefault="00C81926" w:rsidP="00C81926">
      <w:pPr>
        <w:pStyle w:val="Title"/>
      </w:pPr>
      <w:r>
        <w:t xml:space="preserve">Departmental Guidelines for Promotion &amp; Tenure: </w:t>
      </w:r>
      <w:r w:rsidR="003449AB">
        <w:t>Physics Program (PHYS)</w:t>
      </w:r>
    </w:p>
    <w:p w14:paraId="7E6AC086" w14:textId="43C55714" w:rsidR="00C81926" w:rsidRDefault="00A7430E" w:rsidP="00C81926">
      <w:r>
        <w:t xml:space="preserve">This document will </w:t>
      </w:r>
      <w:r w:rsidR="00C4039D">
        <w:t xml:space="preserve">detail guidelines for candidates applying for promotion and/or tenure at the University of Mary Washington in the </w:t>
      </w:r>
      <w:r w:rsidR="00D73588">
        <w:t xml:space="preserve">Physics Program as part of the Chemistry &amp; Physics </w:t>
      </w:r>
      <w:r w:rsidR="00C4039D">
        <w:t>Department</w:t>
      </w:r>
      <w:r w:rsidR="00A11151">
        <w:t xml:space="preserve">. These guidelines will explain how the universal criteria established in Section 7 of the </w:t>
      </w:r>
      <w:r w:rsidR="00A11151">
        <w:rPr>
          <w:i/>
          <w:iCs/>
        </w:rPr>
        <w:t xml:space="preserve">Faculty Handbook </w:t>
      </w:r>
      <w:r w:rsidR="00A11151">
        <w:t xml:space="preserve">are typically </w:t>
      </w:r>
      <w:r w:rsidR="00FF1E37">
        <w:t>met</w:t>
      </w:r>
      <w:r w:rsidR="00FF1E37">
        <w:rPr>
          <w:rStyle w:val="CommentReference"/>
          <w:sz w:val="24"/>
          <w:szCs w:val="24"/>
        </w:rPr>
        <w:t xml:space="preserve"> w</w:t>
      </w:r>
      <w:r w:rsidR="00A11151">
        <w:t>ithin this specific discipline</w:t>
      </w:r>
      <w:r w:rsidR="0050064F">
        <w:t xml:space="preserve"> for candidates applying for (1) promotion to senior lecturer, (2) promotion to associate professor and/or tenure, and (3) promotion to full professor</w:t>
      </w:r>
      <w:r w:rsidR="00A11151">
        <w:t xml:space="preserve">. </w:t>
      </w:r>
      <w:r w:rsidR="00D46436">
        <w:t>These guidelines should inform the candidate’s file preparation</w:t>
      </w:r>
      <w:r w:rsidR="00B9758C">
        <w:t xml:space="preserve"> and the chair/Associate Dean’s letter writing</w:t>
      </w:r>
      <w:r w:rsidR="00400B18">
        <w:t>.</w:t>
      </w:r>
    </w:p>
    <w:p w14:paraId="53E98DEB" w14:textId="3B0B9F99" w:rsidR="00400B18" w:rsidRDefault="00400B18" w:rsidP="00C81926">
      <w:r>
        <w:t>T</w:t>
      </w:r>
      <w:r w:rsidR="00C945C2">
        <w:t xml:space="preserve">o affirm alignment with universal criteria established in Section 7 of the </w:t>
      </w:r>
      <w:r w:rsidR="00C945C2">
        <w:rPr>
          <w:i/>
          <w:iCs/>
        </w:rPr>
        <w:t>Faculty Handbook</w:t>
      </w:r>
      <w:r w:rsidR="00C945C2" w:rsidRPr="00C945C2">
        <w:t>, t</w:t>
      </w:r>
      <w:r>
        <w:t xml:space="preserve">hese guidelines were approved by the University Faculty Affairs Committee on </w:t>
      </w:r>
      <w:r w:rsidR="00E15E82">
        <w:t>2/23/26.</w:t>
      </w:r>
    </w:p>
    <w:p w14:paraId="158B19F6" w14:textId="4CB22020" w:rsidR="00F91E49" w:rsidRDefault="00F91E49" w:rsidP="00BE73B8">
      <w:pPr>
        <w:pStyle w:val="Heading1"/>
      </w:pPr>
      <w:r>
        <w:t>Promotion to Senior Lecturer</w:t>
      </w:r>
    </w:p>
    <w:p w14:paraId="67DA149A" w14:textId="1BD3CFA8" w:rsidR="00221146" w:rsidRDefault="00F91E49" w:rsidP="00F91E49">
      <w:pPr>
        <w:pStyle w:val="Heading2"/>
      </w:pPr>
      <w:r>
        <w:t xml:space="preserve">Departmental Guidelines for </w:t>
      </w:r>
      <w:r w:rsidR="00BE73B8">
        <w:t>Teaching</w:t>
      </w:r>
      <w:r w:rsidR="00475FB4">
        <w:t xml:space="preserve"> (Promotion to Senior Lecturer)</w:t>
      </w:r>
    </w:p>
    <w:p w14:paraId="2568AEAC" w14:textId="54E5F8FE"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1</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B1642C" w14:paraId="5F68F576" w14:textId="77777777" w:rsidTr="4CD93D45">
        <w:tc>
          <w:tcPr>
            <w:tcW w:w="4675" w:type="dxa"/>
            <w:shd w:val="clear" w:color="auto" w:fill="C1E4F5" w:themeFill="accent1" w:themeFillTint="33"/>
          </w:tcPr>
          <w:p w14:paraId="279F588C" w14:textId="15223763" w:rsidR="00B1642C" w:rsidRPr="00BF29D0" w:rsidRDefault="00B1642C" w:rsidP="00BE73B8">
            <w:pPr>
              <w:rPr>
                <w:b/>
                <w:bCs/>
                <w:i/>
                <w:iCs/>
              </w:rPr>
            </w:pPr>
            <w:r w:rsidRPr="00BF29D0">
              <w:rPr>
                <w:b/>
                <w:bCs/>
              </w:rPr>
              <w:t xml:space="preserve">Criteria </w:t>
            </w:r>
            <w:r w:rsidR="001B6F77">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714AE21" w14:textId="07E09DBB" w:rsidR="00B1642C" w:rsidRPr="00BF29D0" w:rsidRDefault="00B1642C" w:rsidP="00BE73B8">
            <w:pPr>
              <w:rPr>
                <w:b/>
                <w:bCs/>
              </w:rPr>
            </w:pPr>
            <w:r w:rsidRPr="4CD93D45">
              <w:rPr>
                <w:b/>
                <w:bCs/>
              </w:rPr>
              <w:t xml:space="preserve">Guidelines for How Criteria </w:t>
            </w:r>
            <w:r w:rsidR="001B6F77" w:rsidRPr="4CD93D45">
              <w:rPr>
                <w:b/>
                <w:bCs/>
              </w:rPr>
              <w:t xml:space="preserve">for Teaching </w:t>
            </w:r>
            <w:r w:rsidRPr="4CD93D45">
              <w:rPr>
                <w:b/>
                <w:bCs/>
              </w:rPr>
              <w:t xml:space="preserve">Are </w:t>
            </w:r>
            <w:r w:rsidR="774E8824" w:rsidRPr="4CD93D45">
              <w:rPr>
                <w:b/>
                <w:bCs/>
              </w:rPr>
              <w:t>Met</w:t>
            </w:r>
            <w:r w:rsidR="00BF29D0" w:rsidRPr="4CD93D45">
              <w:rPr>
                <w:b/>
                <w:bCs/>
              </w:rPr>
              <w:t xml:space="preserve"> within Discipline</w:t>
            </w:r>
          </w:p>
        </w:tc>
      </w:tr>
      <w:tr w:rsidR="00B1642C" w14:paraId="0E34334A" w14:textId="77777777" w:rsidTr="4CD93D45">
        <w:tc>
          <w:tcPr>
            <w:tcW w:w="4675" w:type="dxa"/>
          </w:tcPr>
          <w:p w14:paraId="589DA906" w14:textId="67C55530" w:rsidR="00B1642C" w:rsidRDefault="002F5B27" w:rsidP="00BE73B8">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w:t>
            </w:r>
            <w:r w:rsidRPr="002F5B27">
              <w:lastRenderedPageBreak/>
              <w:t>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336A405E" w14:textId="2B9E9D4F" w:rsidR="00B1642C" w:rsidRDefault="003449AB" w:rsidP="00BE73B8">
            <w:r>
              <w:lastRenderedPageBreak/>
              <w:t>The PHYS</w:t>
            </w:r>
            <w:r w:rsidR="00037985">
              <w:t xml:space="preserve"> program does not currently have any lecturers, nor does the program have any plans to incorporate a lecturer. That said, the PHYS program will meet the guidelines to the left in the most straightforward way possible – observations, evaluations, visitations, and the artifacts mentioned to the left.</w:t>
            </w:r>
          </w:p>
        </w:tc>
      </w:tr>
    </w:tbl>
    <w:p w14:paraId="2656141C" w14:textId="2F58333A" w:rsidR="00BE73B8" w:rsidRDefault="00BE73B8" w:rsidP="00BE73B8"/>
    <w:p w14:paraId="15A88890" w14:textId="1FF11004" w:rsidR="00BE73B8" w:rsidRDefault="00F91E49" w:rsidP="00F91E49">
      <w:pPr>
        <w:pStyle w:val="Heading2"/>
      </w:pPr>
      <w:r>
        <w:t xml:space="preserve">Departmental </w:t>
      </w:r>
      <w:r w:rsidR="00BE73B8">
        <w:t>Guidelines for Scholarly, Creative, and Professional Activity</w:t>
      </w:r>
      <w:r w:rsidR="00475FB4">
        <w:t xml:space="preserve"> (Promotion to Senior Lecturer)</w:t>
      </w:r>
    </w:p>
    <w:p w14:paraId="5D9A2C2A" w14:textId="2315DAC7"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2</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D4569" w:rsidRPr="00BF29D0" w14:paraId="240793C0" w14:textId="77777777" w:rsidTr="4CD93D45">
        <w:tc>
          <w:tcPr>
            <w:tcW w:w="4675" w:type="dxa"/>
            <w:shd w:val="clear" w:color="auto" w:fill="C1E4F5" w:themeFill="accent1" w:themeFillTint="33"/>
          </w:tcPr>
          <w:p w14:paraId="15FBF62C" w14:textId="682E88B6" w:rsidR="001D4569" w:rsidRPr="00BF29D0" w:rsidRDefault="001D4569">
            <w:pPr>
              <w:rPr>
                <w:b/>
                <w:bCs/>
                <w:i/>
                <w:iCs/>
              </w:rPr>
            </w:pPr>
            <w:r w:rsidRPr="00BF29D0">
              <w:rPr>
                <w:b/>
                <w:bCs/>
              </w:rPr>
              <w:t xml:space="preserve">Criteria </w:t>
            </w:r>
            <w:r w:rsidR="0057299D">
              <w:rPr>
                <w:b/>
                <w:bCs/>
              </w:rPr>
              <w:t xml:space="preserve">for </w:t>
            </w:r>
            <w:r w:rsidR="0057299D"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7E1FC64E" w14:textId="4A716546" w:rsidR="001D4569" w:rsidRPr="00BF29D0" w:rsidRDefault="1FF27839">
            <w:pPr>
              <w:rPr>
                <w:b/>
                <w:bCs/>
              </w:rPr>
            </w:pPr>
            <w:r w:rsidRPr="4CD93D45">
              <w:rPr>
                <w:b/>
                <w:bCs/>
              </w:rPr>
              <w:t xml:space="preserve">Guidelines for How Criteria </w:t>
            </w:r>
            <w:r w:rsidR="19894D7F" w:rsidRPr="4CD93D45">
              <w:rPr>
                <w:b/>
                <w:bCs/>
              </w:rPr>
              <w:t xml:space="preserve">for Scholarly, Creative, and Professional Activity </w:t>
            </w:r>
            <w:r w:rsidRPr="4CD93D45">
              <w:rPr>
                <w:b/>
                <w:bCs/>
              </w:rPr>
              <w:t xml:space="preserve">Are </w:t>
            </w:r>
            <w:r w:rsidR="2099D0CB" w:rsidRPr="4CD93D45">
              <w:rPr>
                <w:b/>
                <w:bCs/>
              </w:rPr>
              <w:t>Met</w:t>
            </w:r>
            <w:r w:rsidRPr="4CD93D45">
              <w:rPr>
                <w:b/>
                <w:bCs/>
              </w:rPr>
              <w:t xml:space="preserve"> within Discipline</w:t>
            </w:r>
          </w:p>
        </w:tc>
      </w:tr>
      <w:tr w:rsidR="001D4569" w14:paraId="354670FD" w14:textId="77777777" w:rsidTr="4CD93D45">
        <w:tc>
          <w:tcPr>
            <w:tcW w:w="4675" w:type="dxa"/>
          </w:tcPr>
          <w:p w14:paraId="51BBF880" w14:textId="55390A86" w:rsidR="001D4569" w:rsidRDefault="00C40CF1">
            <w:r w:rsidRPr="00C40CF1">
              <w:rPr>
                <w:b/>
                <w:bCs/>
              </w:rPr>
              <w:t>7.3.2.1 Criteria for Promotion to Senior Lecturer</w:t>
            </w:r>
            <w:r w:rsidRPr="00C40CF1">
              <w:t xml:space="preserve">   The candidate will demonstrate that they have engaged in professional activity that goes beyond the expected reading one must do and the conferences and workshops one must attend to maintain currency in one’s profession or discipline. Examples of professional activity include but are not limited to: teaching development and/or participation in professional credential development activities; public presentations, exhibitions, and/or performances; active involvement in professional/performing/scholarly societies, associations, boards, or groups; consulting activity; and scholarly activity (e.g., publications or book reviews in scholarly and/or professional journals and presentations/papers at scholarly and/or </w:t>
            </w:r>
            <w:r w:rsidRPr="00C40CF1">
              <w:lastRenderedPageBreak/>
              <w:t>professional conferences). The 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333938D7" w14:textId="3B9BA71C" w:rsidR="001D4569" w:rsidRDefault="00037985">
            <w:r>
              <w:lastRenderedPageBreak/>
              <w:t>The PHYS program does not currently have any lecturers, nor does the program have any plans to incorporate a lecturer. That said, the PHYS program will meet the guidelines to the left in the most straightforward way possible – observations, evaluations, and the artifacts mentioned to the left.</w:t>
            </w:r>
          </w:p>
        </w:tc>
      </w:tr>
    </w:tbl>
    <w:p w14:paraId="7D8BB076" w14:textId="0F0D8D8C" w:rsidR="00BE73B8" w:rsidRDefault="00BE73B8" w:rsidP="00BE73B8"/>
    <w:p w14:paraId="0650678B" w14:textId="6A3C7043" w:rsidR="00694ADF" w:rsidRDefault="00F91E49" w:rsidP="00F91E49">
      <w:pPr>
        <w:pStyle w:val="Heading2"/>
      </w:pPr>
      <w:r>
        <w:t xml:space="preserve">Departmental </w:t>
      </w:r>
      <w:r w:rsidR="00694ADF">
        <w:t>Guidelines for Service</w:t>
      </w:r>
      <w:r w:rsidR="00475FB4">
        <w:t xml:space="preserve"> (Promotion to Senior Lecturer)</w:t>
      </w:r>
    </w:p>
    <w:p w14:paraId="18D764AE" w14:textId="64A6E44D"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3</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27AA5810" w14:textId="77777777" w:rsidTr="4CD93D45">
        <w:tc>
          <w:tcPr>
            <w:tcW w:w="4675" w:type="dxa"/>
            <w:shd w:val="clear" w:color="auto" w:fill="C1E4F5" w:themeFill="accent1" w:themeFillTint="33"/>
          </w:tcPr>
          <w:p w14:paraId="627657D2" w14:textId="7CFA4818"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71140255" w14:textId="53AA0F4C" w:rsidR="007F04C2" w:rsidRPr="00BF29D0" w:rsidRDefault="57122CD4">
            <w:pPr>
              <w:rPr>
                <w:b/>
                <w:bCs/>
              </w:rPr>
            </w:pPr>
            <w:r w:rsidRPr="4CD93D45">
              <w:rPr>
                <w:b/>
                <w:bCs/>
              </w:rPr>
              <w:t xml:space="preserve">Guidelines for How Criteria for Service Are </w:t>
            </w:r>
            <w:r w:rsidR="2DCF7C9C" w:rsidRPr="4CD93D45">
              <w:rPr>
                <w:b/>
                <w:bCs/>
              </w:rPr>
              <w:t>Met</w:t>
            </w:r>
            <w:r w:rsidRPr="4CD93D45">
              <w:rPr>
                <w:b/>
                <w:bCs/>
              </w:rPr>
              <w:t xml:space="preserve"> within Discipline</w:t>
            </w:r>
          </w:p>
        </w:tc>
      </w:tr>
      <w:tr w:rsidR="007F04C2" w14:paraId="04B5ACF6" w14:textId="77777777" w:rsidTr="4CD93D45">
        <w:tc>
          <w:tcPr>
            <w:tcW w:w="4675" w:type="dxa"/>
          </w:tcPr>
          <w:p w14:paraId="4D0127EB" w14:textId="7B09A556" w:rsidR="007F04C2" w:rsidRDefault="006E295B">
            <w:r w:rsidRPr="006E295B">
              <w:rPr>
                <w:b/>
                <w:bCs/>
              </w:rPr>
              <w:t>7.3.3.1 Criteria for Promotion to Senior Lecturer, Promotion to Associate Professor, and/or Tenure</w:t>
            </w:r>
            <w:r w:rsidRPr="006E295B">
              <w:t xml:space="preserve">    The candidate will demonstrate a consistent record of advising, continuing contribution to the department, service to the college and/or University, and/or service to the profession. Service to the department and to the college and/or University is expected for promotion to these ranks. Examples of service include but are not limited to: academic advising; formal service roles at the department level (e.g., departmental committees, department hiring activities, admissions events, website maintenance, Honor Council advising, etc.); formal service roles at the college and/or University level (e.g., committee, working group, advisory council, special assignments, faculty fellows, etc.); and formal service roles within professional organizations. Community outreach activities that rely on a faculty member’s academic expertise and serve to connect the University with the community can also be recognized in this category.</w:t>
            </w:r>
          </w:p>
        </w:tc>
        <w:tc>
          <w:tcPr>
            <w:tcW w:w="4675" w:type="dxa"/>
          </w:tcPr>
          <w:p w14:paraId="40652E80" w14:textId="475FAD15" w:rsidR="007F04C2" w:rsidRDefault="00037985">
            <w:r>
              <w:t>The PHYS program does not currently have any lecturers, nor does the program have any plans to incorporate a lecturer. That said, the PHYS program will meet the guidelines to the left in the most straightforward way possible.</w:t>
            </w:r>
          </w:p>
        </w:tc>
      </w:tr>
    </w:tbl>
    <w:p w14:paraId="55A0E0EA" w14:textId="5C8B2E26" w:rsidR="00694ADF" w:rsidRPr="00BE73B8" w:rsidRDefault="00694ADF" w:rsidP="00694ADF"/>
    <w:p w14:paraId="3F60F980" w14:textId="77777777" w:rsidR="00694ADF" w:rsidRDefault="00694ADF" w:rsidP="00BE73B8"/>
    <w:p w14:paraId="60244433" w14:textId="730EA2F3" w:rsidR="00811B52" w:rsidRDefault="00811B52" w:rsidP="00811B52">
      <w:pPr>
        <w:pStyle w:val="Heading1"/>
      </w:pPr>
      <w:r>
        <w:lastRenderedPageBreak/>
        <w:t>Promotion to Associate Professor and/or Tenure</w:t>
      </w:r>
    </w:p>
    <w:p w14:paraId="6A59537B" w14:textId="627282A9" w:rsidR="00811B52" w:rsidRDefault="00811B52" w:rsidP="00811B52">
      <w:pPr>
        <w:pStyle w:val="Heading2"/>
      </w:pPr>
      <w:r>
        <w:t>Departmental Guidelines for Teaching</w:t>
      </w:r>
      <w:r w:rsidR="00475FB4">
        <w:t xml:space="preserve"> (</w:t>
      </w:r>
      <w:r w:rsidR="00475FB4" w:rsidRPr="00475FB4">
        <w:t>Promotion to Associate Professor and/or Tenure</w:t>
      </w:r>
      <w:r w:rsidR="00475FB4">
        <w:t>)</w:t>
      </w:r>
    </w:p>
    <w:p w14:paraId="7C748DCE" w14:textId="357FA9B5"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4</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B6F77" w14:paraId="3E0BD811" w14:textId="77777777" w:rsidTr="4CD93D45">
        <w:tc>
          <w:tcPr>
            <w:tcW w:w="4675" w:type="dxa"/>
            <w:shd w:val="clear" w:color="auto" w:fill="C1E4F5" w:themeFill="accent1" w:themeFillTint="33"/>
          </w:tcPr>
          <w:p w14:paraId="56FBEC01" w14:textId="77777777" w:rsidR="001B6F77" w:rsidRPr="00BF29D0" w:rsidRDefault="001B6F77">
            <w:pPr>
              <w:rPr>
                <w:b/>
                <w:bCs/>
                <w:i/>
                <w:iCs/>
              </w:rPr>
            </w:pPr>
            <w:r w:rsidRPr="00BF29D0">
              <w:rPr>
                <w:b/>
                <w:bCs/>
              </w:rPr>
              <w:t xml:space="preserve">Criteria </w:t>
            </w:r>
            <w:r>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1999D84E" w14:textId="473BF975" w:rsidR="001B6F77" w:rsidRPr="00BF29D0" w:rsidRDefault="001B6F77">
            <w:pPr>
              <w:rPr>
                <w:b/>
                <w:bCs/>
              </w:rPr>
            </w:pPr>
            <w:r w:rsidRPr="4CD93D45">
              <w:rPr>
                <w:b/>
                <w:bCs/>
              </w:rPr>
              <w:t xml:space="preserve">Guidelines for How Criteria for Teaching Are </w:t>
            </w:r>
            <w:r w:rsidR="7BFEBB46" w:rsidRPr="4CD93D45">
              <w:rPr>
                <w:b/>
                <w:bCs/>
              </w:rPr>
              <w:t>Met</w:t>
            </w:r>
            <w:r w:rsidRPr="4CD93D45">
              <w:rPr>
                <w:b/>
                <w:bCs/>
              </w:rPr>
              <w:t xml:space="preserve"> within Discipline</w:t>
            </w:r>
          </w:p>
        </w:tc>
      </w:tr>
      <w:tr w:rsidR="001B6F77" w14:paraId="17AB5C87" w14:textId="77777777" w:rsidTr="4CD93D45">
        <w:tc>
          <w:tcPr>
            <w:tcW w:w="4675" w:type="dxa"/>
          </w:tcPr>
          <w:p w14:paraId="676CD2B3" w14:textId="77777777" w:rsidR="001B6F77" w:rsidRDefault="001B6F77">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08AB70F0" w14:textId="6B71F3E8" w:rsidR="00C6185B" w:rsidRDefault="00C6185B">
            <w:r>
              <w:t xml:space="preserve">In addition to the traditional items mentioned to the left, </w:t>
            </w:r>
            <w:r w:rsidR="00D73588">
              <w:t xml:space="preserve">and utilizing the artifacts and the description given, </w:t>
            </w:r>
            <w:r>
              <w:t>the following should supplement the process for tenure when involving PHYS faculty:</w:t>
            </w:r>
          </w:p>
          <w:p w14:paraId="32553D51" w14:textId="77777777" w:rsidR="001B6F77" w:rsidRDefault="00C6185B">
            <w:r>
              <w:t>(1) The PHYS program undergoes a rigorous observation (evaluation) process of every faculty member, including adjuncts. This input should certainly be incorporated into the decision for teaching excellence.</w:t>
            </w:r>
          </w:p>
          <w:p w14:paraId="548CF99A" w14:textId="77777777" w:rsidR="00C6185B" w:rsidRDefault="00C6185B">
            <w:r>
              <w:t>(2) The incorporation of findings from physics education research (PER) should also be considered when deciding on teaching excellence. While not every PER finding is worthy of inclusion, PHYS faculty should consider what PER elements are valid and whether or not to incorporate them.</w:t>
            </w:r>
          </w:p>
          <w:p w14:paraId="54DC04A7" w14:textId="0CA994A8" w:rsidR="00C6185B" w:rsidRPr="00C6185B" w:rsidRDefault="00C6185B">
            <w:r>
              <w:t xml:space="preserve">(3) Within the PHYS discipline mentoring student research is </w:t>
            </w:r>
            <w:r>
              <w:rPr>
                <w:b/>
                <w:i/>
              </w:rPr>
              <w:t>both</w:t>
            </w:r>
            <w:r>
              <w:t xml:space="preserve"> an instructional activity (teaching) as well as a professional activity (research). Within the realm of teaching, faculty mentorship is teaching the student about the process of conducting science. </w:t>
            </w:r>
            <w:r w:rsidR="00BA4524">
              <w:t xml:space="preserve">“To </w:t>
            </w:r>
            <w:r w:rsidR="00BA4524" w:rsidRPr="00BA4524">
              <w:t>develop the next generation of aspiring scientists</w:t>
            </w:r>
            <w:r w:rsidR="00BA4524">
              <w:t>” is a central tenet of the UMW Physics Program mission. This</w:t>
            </w:r>
            <w:r>
              <w:t xml:space="preserve"> includes but is not limited to the following: development of research question, literature search, close reading of scientific papers, </w:t>
            </w:r>
            <w:r w:rsidR="00BA4524">
              <w:t>instrumentation training, presentation skills, communication, collaboration, and proposal/ application submission.</w:t>
            </w:r>
          </w:p>
        </w:tc>
      </w:tr>
    </w:tbl>
    <w:p w14:paraId="7FE498A8" w14:textId="4EB02803" w:rsidR="00811B52" w:rsidRDefault="00811B52" w:rsidP="00811B52"/>
    <w:p w14:paraId="7FC15259" w14:textId="13BD58E9" w:rsidR="00811B52" w:rsidRDefault="00811B52" w:rsidP="00811B52">
      <w:pPr>
        <w:pStyle w:val="Heading2"/>
      </w:pPr>
      <w:r>
        <w:t>Departmental Guidelines for Scholarly, Creative, and Professional Activity</w:t>
      </w:r>
      <w:r w:rsidR="00475FB4">
        <w:t xml:space="preserve"> (</w:t>
      </w:r>
      <w:r w:rsidR="00475FB4" w:rsidRPr="00475FB4">
        <w:t>Promotion to Associate Professor and/or Tenure</w:t>
      </w:r>
      <w:r w:rsidR="00475FB4">
        <w:t>)</w:t>
      </w:r>
    </w:p>
    <w:p w14:paraId="0599EC1E" w14:textId="488B0041"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5</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57299D" w:rsidRPr="00BF29D0" w14:paraId="4B896ADA" w14:textId="77777777" w:rsidTr="4CD93D45">
        <w:tc>
          <w:tcPr>
            <w:tcW w:w="4675" w:type="dxa"/>
            <w:shd w:val="clear" w:color="auto" w:fill="C1E4F5" w:themeFill="accent1" w:themeFillTint="33"/>
          </w:tcPr>
          <w:p w14:paraId="4282A38D" w14:textId="77777777" w:rsidR="0057299D" w:rsidRPr="00BF29D0" w:rsidRDefault="0057299D">
            <w:pPr>
              <w:rPr>
                <w:b/>
                <w:bCs/>
                <w:i/>
                <w:iCs/>
              </w:rPr>
            </w:pPr>
            <w:r w:rsidRPr="00BF29D0">
              <w:rPr>
                <w:b/>
                <w:bCs/>
              </w:rPr>
              <w:t xml:space="preserve">Criteria </w:t>
            </w:r>
            <w:r>
              <w:rPr>
                <w:b/>
                <w:bCs/>
              </w:rPr>
              <w:t xml:space="preserve">for </w:t>
            </w:r>
            <w:r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8C93F2D" w14:textId="31C8C82E" w:rsidR="0057299D" w:rsidRPr="00BF29D0" w:rsidRDefault="19894D7F">
            <w:pPr>
              <w:rPr>
                <w:b/>
                <w:bCs/>
              </w:rPr>
            </w:pPr>
            <w:r w:rsidRPr="4CD93D45">
              <w:rPr>
                <w:b/>
                <w:bCs/>
              </w:rPr>
              <w:t xml:space="preserve">Guidelines for How Criteria for Scholarly, Creative, and Professional Activity Are </w:t>
            </w:r>
            <w:r w:rsidR="3825F6BA" w:rsidRPr="4CD93D45">
              <w:rPr>
                <w:b/>
                <w:bCs/>
              </w:rPr>
              <w:t>Met</w:t>
            </w:r>
            <w:r w:rsidRPr="4CD93D45">
              <w:rPr>
                <w:b/>
                <w:bCs/>
              </w:rPr>
              <w:t xml:space="preserve"> within Discipline</w:t>
            </w:r>
          </w:p>
        </w:tc>
      </w:tr>
      <w:tr w:rsidR="0057299D" w14:paraId="31ADD769" w14:textId="77777777" w:rsidTr="4CD93D45">
        <w:tc>
          <w:tcPr>
            <w:tcW w:w="4675" w:type="dxa"/>
          </w:tcPr>
          <w:p w14:paraId="71D50E4D" w14:textId="26B9E341" w:rsidR="0057299D" w:rsidRDefault="00073447">
            <w:r w:rsidRPr="00073447">
              <w:rPr>
                <w:b/>
                <w:bCs/>
              </w:rPr>
              <w:t>7.3.2.2 Criteria for Promotion to Associate Professor and/or Tenure</w:t>
            </w:r>
            <w:r w:rsidRPr="00073447">
              <w:t xml:space="preserve">    The candidate will demonstrate that they have contributed to their discipline and/or teaching profession through activities that are directed toward professional peers. The committee expects to see a pattern of scholarly, creative, and professional activity that goes beyond mere attendance at meetings and conferences. Examples of professional activity include but are not limited to: teaching development and/or participation in professional credential development activities; presentations/papers at scholarly and/or professional conferences; holding office in professional organizations; editing a journal; publishing book reviews, journal articles, professional reports and projects, books, or other printed works; winning a grant; participating in exhibitions or performances, or equivalent. For faculty teaching in AACSB-accredited programs, generally, </w:t>
            </w:r>
            <w:r w:rsidRPr="00073447">
              <w:rPr>
                <w:b/>
                <w:bCs/>
              </w:rPr>
              <w:t>professional service activities</w:t>
            </w:r>
            <w:r w:rsidRPr="00073447">
              <w:t xml:space="preserve"> are </w:t>
            </w:r>
            <w:r w:rsidRPr="00073447">
              <w:rPr>
                <w:b/>
                <w:bCs/>
              </w:rPr>
              <w:t>not</w:t>
            </w:r>
            <w:r w:rsidRPr="00073447">
              <w:t xml:space="preserve"> considered research, scholarship, or professional development; instead, organizational and managerial activities while holding office in professional organizations would be considered service to the profession. The candidate and their department shall provide information about the kinds of activities that constitute the scholarly, creative, and professional activity and development appropriate for a </w:t>
            </w:r>
            <w:r w:rsidRPr="00073447">
              <w:lastRenderedPageBreak/>
              <w:t>faculty member seeking promotion to this rank.</w:t>
            </w:r>
          </w:p>
        </w:tc>
        <w:tc>
          <w:tcPr>
            <w:tcW w:w="4675" w:type="dxa"/>
          </w:tcPr>
          <w:p w14:paraId="6A0EC73E" w14:textId="19E6CDF5" w:rsidR="00BA4524" w:rsidRDefault="00D73588">
            <w:r>
              <w:lastRenderedPageBreak/>
              <w:t>In addition to the traditional items mentioned to the left, and utilizing the artifacts and the description given, w</w:t>
            </w:r>
            <w:r w:rsidR="00BA4524">
              <w:t xml:space="preserve">hen interpreting the phrase “directed toward their professional peers,” the UMW PHYS interprets the following clarifications for scholarly and professional activity: </w:t>
            </w:r>
          </w:p>
          <w:p w14:paraId="3FC50AA0" w14:textId="77777777" w:rsidR="0057299D" w:rsidRDefault="00BA4524">
            <w:r>
              <w:t xml:space="preserve">(1) Within the PHYS discipline mentoring student research is </w:t>
            </w:r>
            <w:r>
              <w:rPr>
                <w:b/>
                <w:i/>
              </w:rPr>
              <w:t>both</w:t>
            </w:r>
            <w:r>
              <w:t xml:space="preserve"> an instructional activity (teaching) as well as a professional activity (research). Within the realm of teaching, faculty mentorship is teaching the student about the process of conducting science. “To </w:t>
            </w:r>
            <w:r w:rsidRPr="00BA4524">
              <w:t>develop the next generation of aspiring scientists</w:t>
            </w:r>
            <w:r>
              <w:t xml:space="preserve">” is a central tenet of the UMW Physics Program mission. When taken seriously, this has a tremendous impact on the faculty member’s ability to be productive </w:t>
            </w:r>
            <w:r w:rsidR="00C6764D">
              <w:t xml:space="preserve">independent of undergraduate student majors. Therefore, the number of faculty-mentored, student, as well as the progression of those faculty-mentored presentations will be noted and incorporated. In particular, within physics-specific contexts, student excellence will reflect favorably on the faculty who mentored the project. </w:t>
            </w:r>
          </w:p>
          <w:p w14:paraId="19107194" w14:textId="77777777" w:rsidR="00C6764D" w:rsidRDefault="00C6764D">
            <w:r>
              <w:t>(2) Support for PER will also be considered for PHYS faculty considered for tenure. There should be no doubt as to the scholarly quality of contributions to the excellence of physics instruction and learning.</w:t>
            </w:r>
          </w:p>
          <w:p w14:paraId="15928966" w14:textId="34DC2D49" w:rsidR="00C6764D" w:rsidRDefault="00C6764D">
            <w:r>
              <w:lastRenderedPageBreak/>
              <w:t>(3) Every role in a professional organization has some measure of service to the discipline. Therefore, service within a professional organization that arises specifically from an office held within the organization will not be segregated from the role itself.</w:t>
            </w:r>
          </w:p>
        </w:tc>
      </w:tr>
    </w:tbl>
    <w:p w14:paraId="36812122" w14:textId="3C487378" w:rsidR="00811B52" w:rsidRDefault="00811B52" w:rsidP="00811B52"/>
    <w:p w14:paraId="12E0F87C" w14:textId="7F70E98D" w:rsidR="00811B52" w:rsidRDefault="00811B52" w:rsidP="00811B52">
      <w:pPr>
        <w:pStyle w:val="Heading2"/>
      </w:pPr>
      <w:r>
        <w:t>Departmental Guidelines for Service</w:t>
      </w:r>
      <w:r w:rsidR="00475FB4">
        <w:t xml:space="preserve"> (</w:t>
      </w:r>
      <w:r w:rsidR="00475FB4" w:rsidRPr="00475FB4">
        <w:t>Promotion to Associate Professor and/or Tenure</w:t>
      </w:r>
      <w:r w:rsidR="00475FB4">
        <w:t>)</w:t>
      </w:r>
    </w:p>
    <w:p w14:paraId="24C3EE0B" w14:textId="055291B8"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6</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40351DA8" w14:textId="77777777" w:rsidTr="4CD93D45">
        <w:tc>
          <w:tcPr>
            <w:tcW w:w="4675" w:type="dxa"/>
            <w:shd w:val="clear" w:color="auto" w:fill="C1E4F5" w:themeFill="accent1" w:themeFillTint="33"/>
          </w:tcPr>
          <w:p w14:paraId="45168767" w14:textId="77777777"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C5551F0" w14:textId="1E075F7A" w:rsidR="007F04C2" w:rsidRPr="00BF29D0" w:rsidRDefault="57122CD4">
            <w:pPr>
              <w:rPr>
                <w:b/>
                <w:bCs/>
              </w:rPr>
            </w:pPr>
            <w:r w:rsidRPr="4CD93D45">
              <w:rPr>
                <w:b/>
                <w:bCs/>
              </w:rPr>
              <w:t xml:space="preserve">Guidelines for How Criteria for Service Are </w:t>
            </w:r>
            <w:r w:rsidR="626C5926" w:rsidRPr="4CD93D45">
              <w:rPr>
                <w:b/>
                <w:bCs/>
              </w:rPr>
              <w:t>Met</w:t>
            </w:r>
            <w:r w:rsidRPr="4CD93D45">
              <w:rPr>
                <w:b/>
                <w:bCs/>
              </w:rPr>
              <w:t xml:space="preserve"> within Discipline</w:t>
            </w:r>
          </w:p>
        </w:tc>
      </w:tr>
      <w:tr w:rsidR="007F04C2" w14:paraId="12AA9225" w14:textId="77777777" w:rsidTr="4CD93D45">
        <w:tc>
          <w:tcPr>
            <w:tcW w:w="4675" w:type="dxa"/>
          </w:tcPr>
          <w:p w14:paraId="50BF9C15" w14:textId="652F2F96" w:rsidR="007F04C2" w:rsidRDefault="006E295B">
            <w:r w:rsidRPr="006E295B">
              <w:rPr>
                <w:b/>
                <w:bCs/>
              </w:rPr>
              <w:t>7.3.3.1 Criteria for Promotion to Senior Lecturer, Promotion to Associate Professor, and/or Tenure</w:t>
            </w:r>
            <w:r w:rsidRPr="006E295B">
              <w:t xml:space="preserve">    The candidate will demonstrate a consistent record of advising, continuing contribution to the department, service to the college and/or University, and/or service to the profession. Service to the department and to the college and/or University is expected for promotion to these ranks. Examples of service include but are not limited to: academic advising; formal service roles at the department level (e.g., departmental committees, department hiring activities, admissions events, website maintenance, Honor Council advising, etc.); formal service roles at the college and/or University level (e.g., committee, working group, advisory council, special assignments, faculty fellows, etc.); and formal service roles within professional organizations. Community outreach activities that rely on a faculty member’s academic expertise and serve to connect the University with the community can also be recognized in this category.</w:t>
            </w:r>
          </w:p>
        </w:tc>
        <w:tc>
          <w:tcPr>
            <w:tcW w:w="4675" w:type="dxa"/>
          </w:tcPr>
          <w:p w14:paraId="61D3BA9A" w14:textId="1DA6C9D6" w:rsidR="007F04C2" w:rsidRDefault="00C6764D">
            <w:r>
              <w:t xml:space="preserve">The PHYS program faculty will have no difficulty meeting the criteria for Service as it is defined in the handbook. </w:t>
            </w:r>
            <w:r w:rsidR="005047F8">
              <w:t>It is noted that the “academic expertise” of a faculty member lies both in the instructional and disciplinary expertise.</w:t>
            </w:r>
          </w:p>
        </w:tc>
      </w:tr>
    </w:tbl>
    <w:p w14:paraId="5BA96C6F" w14:textId="086FD3A1" w:rsidR="00811B52" w:rsidRPr="00BE73B8" w:rsidRDefault="00811B52" w:rsidP="00811B52"/>
    <w:p w14:paraId="545BC869" w14:textId="77777777" w:rsidR="00811B52" w:rsidRPr="00BE73B8" w:rsidRDefault="00811B52" w:rsidP="00BE73B8"/>
    <w:p w14:paraId="138E453B" w14:textId="7F329CEB" w:rsidR="00811B52" w:rsidRDefault="00811B52" w:rsidP="00811B52">
      <w:pPr>
        <w:pStyle w:val="Heading1"/>
      </w:pPr>
      <w:r>
        <w:t>Promotion to Full Professor</w:t>
      </w:r>
    </w:p>
    <w:p w14:paraId="5402B323" w14:textId="16585B51" w:rsidR="00811B52" w:rsidRDefault="00811B52" w:rsidP="00811B52">
      <w:pPr>
        <w:pStyle w:val="Heading2"/>
      </w:pPr>
      <w:r>
        <w:t>Departmental Guidelines for Teaching</w:t>
      </w:r>
      <w:r w:rsidR="00475FB4">
        <w:t xml:space="preserve"> (</w:t>
      </w:r>
      <w:r w:rsidR="00475FB4" w:rsidRPr="00475FB4">
        <w:t>Promotion to Full Professor</w:t>
      </w:r>
      <w:r w:rsidR="00475FB4">
        <w:t>)</w:t>
      </w:r>
    </w:p>
    <w:p w14:paraId="225BDCE6" w14:textId="40DDD377"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7</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B6F77" w14:paraId="68E83F05" w14:textId="77777777" w:rsidTr="4CD93D45">
        <w:tc>
          <w:tcPr>
            <w:tcW w:w="4675" w:type="dxa"/>
            <w:shd w:val="clear" w:color="auto" w:fill="C1E4F5" w:themeFill="accent1" w:themeFillTint="33"/>
          </w:tcPr>
          <w:p w14:paraId="1C9F80D8" w14:textId="77777777" w:rsidR="001B6F77" w:rsidRPr="00BF29D0" w:rsidRDefault="001B6F77">
            <w:pPr>
              <w:rPr>
                <w:b/>
                <w:bCs/>
                <w:i/>
                <w:iCs/>
              </w:rPr>
            </w:pPr>
            <w:r w:rsidRPr="00BF29D0">
              <w:rPr>
                <w:b/>
                <w:bCs/>
              </w:rPr>
              <w:t xml:space="preserve">Criteria </w:t>
            </w:r>
            <w:r>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E1EA68D" w14:textId="314B05FE" w:rsidR="001B6F77" w:rsidRPr="00BF29D0" w:rsidRDefault="001B6F77">
            <w:pPr>
              <w:rPr>
                <w:b/>
                <w:bCs/>
              </w:rPr>
            </w:pPr>
            <w:r w:rsidRPr="4CD93D45">
              <w:rPr>
                <w:b/>
                <w:bCs/>
              </w:rPr>
              <w:t xml:space="preserve">Guidelines for How Criteria for Teaching Are </w:t>
            </w:r>
            <w:r w:rsidR="5CF632AB" w:rsidRPr="4CD93D45">
              <w:rPr>
                <w:b/>
                <w:bCs/>
              </w:rPr>
              <w:t>Met</w:t>
            </w:r>
            <w:r w:rsidRPr="4CD93D45">
              <w:rPr>
                <w:b/>
                <w:bCs/>
              </w:rPr>
              <w:t xml:space="preserve"> within Discipline</w:t>
            </w:r>
          </w:p>
        </w:tc>
      </w:tr>
      <w:tr w:rsidR="001B6F77" w14:paraId="1A092DBF" w14:textId="77777777" w:rsidTr="4CD93D45">
        <w:tc>
          <w:tcPr>
            <w:tcW w:w="4675" w:type="dxa"/>
          </w:tcPr>
          <w:p w14:paraId="30C68DD1" w14:textId="77777777" w:rsidR="001B6F77" w:rsidRDefault="001B6F77">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71707B0F" w14:textId="04750849" w:rsidR="005047F8" w:rsidRDefault="00D73588" w:rsidP="005047F8">
            <w:r>
              <w:t xml:space="preserve">In addition to the traditional items mentioned to the left, and utilizing the artifacts and the description given, </w:t>
            </w:r>
            <w:r w:rsidR="005047F8">
              <w:t>the following should supplement the process for tenure when involving PHYS faculty:</w:t>
            </w:r>
          </w:p>
          <w:p w14:paraId="032DD0C2" w14:textId="77777777" w:rsidR="005047F8" w:rsidRDefault="005047F8" w:rsidP="005047F8">
            <w:r>
              <w:t>(1) The PHYS program undergoes a rigorous observation (evaluation) process of every faculty member, including adjuncts. This input should certainly be incorporated into the decision for teaching excellence.</w:t>
            </w:r>
          </w:p>
          <w:p w14:paraId="0FAE61F2" w14:textId="77777777" w:rsidR="005047F8" w:rsidRDefault="005047F8" w:rsidP="005047F8">
            <w:r>
              <w:t>(2) The incorporation of findings from physics education research (PER) should also be considered when deciding on teaching excellence. While not every PER finding is worthy of inclusion, PHYS faculty should consider what PER elements are valid and whether or not to incorporate them.</w:t>
            </w:r>
          </w:p>
          <w:p w14:paraId="4C3B4D16" w14:textId="2FF02EA0" w:rsidR="001B6F77" w:rsidRDefault="005047F8" w:rsidP="005047F8">
            <w:r>
              <w:t xml:space="preserve">(3) Within the PHYS discipline mentoring student research is </w:t>
            </w:r>
            <w:r>
              <w:rPr>
                <w:b/>
                <w:i/>
              </w:rPr>
              <w:t>both</w:t>
            </w:r>
            <w:r>
              <w:t xml:space="preserve"> an instructional activity (teaching) as well as a professional activity (research). Within the realm of teaching, faculty mentorship is teaching the student about the process of conducting science. “To </w:t>
            </w:r>
            <w:r w:rsidRPr="00BA4524">
              <w:t>develop the next generation of aspiring scientists</w:t>
            </w:r>
            <w:r>
              <w:t>” is a central tenet of the UMW Physics Program mission. This includes but is not limited to the following: development of research question, literature search, close reading of scientific papers, instrumentation training, presentation skills, communication, collaboration, and proposal/ application submission.</w:t>
            </w:r>
          </w:p>
        </w:tc>
      </w:tr>
    </w:tbl>
    <w:p w14:paraId="6D2CA950" w14:textId="77777777" w:rsidR="001B6F77" w:rsidRDefault="001B6F77" w:rsidP="001B6F77"/>
    <w:p w14:paraId="069F233B" w14:textId="216E3978" w:rsidR="00811B52" w:rsidRDefault="00811B52" w:rsidP="00811B52"/>
    <w:p w14:paraId="221735EC" w14:textId="77303E4B" w:rsidR="00811B52" w:rsidRDefault="00811B52" w:rsidP="00811B52">
      <w:pPr>
        <w:pStyle w:val="Heading2"/>
      </w:pPr>
      <w:r>
        <w:t>Departmental Guidelines for Scholarly, Creative, and Professional Activity</w:t>
      </w:r>
      <w:r w:rsidR="00475FB4">
        <w:t xml:space="preserve"> (</w:t>
      </w:r>
      <w:r w:rsidR="00475FB4" w:rsidRPr="00475FB4">
        <w:t>Promotion to Full Professor</w:t>
      </w:r>
      <w:r w:rsidR="00475FB4">
        <w:t>)</w:t>
      </w:r>
    </w:p>
    <w:p w14:paraId="6460E819" w14:textId="73BE0883"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8</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E7EA6" w:rsidRPr="00BF29D0" w14:paraId="5A33A472" w14:textId="77777777" w:rsidTr="4CD93D45">
        <w:tc>
          <w:tcPr>
            <w:tcW w:w="4675" w:type="dxa"/>
            <w:shd w:val="clear" w:color="auto" w:fill="C1E4F5" w:themeFill="accent1" w:themeFillTint="33"/>
          </w:tcPr>
          <w:p w14:paraId="17756E26" w14:textId="77777777" w:rsidR="007E7EA6" w:rsidRPr="00BF29D0" w:rsidRDefault="007E7EA6">
            <w:pPr>
              <w:rPr>
                <w:b/>
                <w:bCs/>
                <w:i/>
                <w:iCs/>
              </w:rPr>
            </w:pPr>
            <w:r w:rsidRPr="00BF29D0">
              <w:rPr>
                <w:b/>
                <w:bCs/>
              </w:rPr>
              <w:t xml:space="preserve">Criteria </w:t>
            </w:r>
            <w:r>
              <w:rPr>
                <w:b/>
                <w:bCs/>
              </w:rPr>
              <w:t xml:space="preserve">for </w:t>
            </w:r>
            <w:r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F0F54C4" w14:textId="0CF69292" w:rsidR="007E7EA6" w:rsidRPr="00BF29D0" w:rsidRDefault="40C0516B">
            <w:pPr>
              <w:rPr>
                <w:b/>
                <w:bCs/>
              </w:rPr>
            </w:pPr>
            <w:r w:rsidRPr="4CD93D45">
              <w:rPr>
                <w:b/>
                <w:bCs/>
              </w:rPr>
              <w:t xml:space="preserve">Guidelines for How Criteria for Scholarly, Creative, and Professional Activity Are </w:t>
            </w:r>
            <w:r w:rsidR="0BC56D97" w:rsidRPr="4CD93D45">
              <w:rPr>
                <w:b/>
                <w:bCs/>
              </w:rPr>
              <w:t>Met</w:t>
            </w:r>
            <w:r w:rsidRPr="4CD93D45">
              <w:rPr>
                <w:b/>
                <w:bCs/>
              </w:rPr>
              <w:t xml:space="preserve"> within Discipline</w:t>
            </w:r>
          </w:p>
        </w:tc>
      </w:tr>
      <w:tr w:rsidR="007E7EA6" w14:paraId="7E586639" w14:textId="77777777" w:rsidTr="4CD93D45">
        <w:tc>
          <w:tcPr>
            <w:tcW w:w="4675" w:type="dxa"/>
          </w:tcPr>
          <w:p w14:paraId="0A38931F" w14:textId="0D8F9381" w:rsidR="007E7EA6" w:rsidRDefault="001544D6">
            <w:r w:rsidRPr="001544D6">
              <w:rPr>
                <w:b/>
                <w:bCs/>
              </w:rPr>
              <w:t>7.3.2.3 Criteria for Promotion to Full Professor</w:t>
            </w:r>
            <w:r w:rsidRPr="001544D6">
              <w:t xml:space="preserve">    The candidate will demonstrate the achievement of recognition within the discipline. The successful candidate for the rank of professor will demonstrate, as well as support with argument and other evidence, that they have received such recognition. The candidate will include in their file three or more letters from external evaluators that address this issue of recognition. The University expects to see a pattern of significant scholarly, creative, and professional activity within the evaluation period. Examples of significant professional activity include but are not limited to: significant teaching development and/or participation in professional credential development activities; frequent and regular presentations/papers at scholarly and/or professional conferences; holding office in professional organizations; editing a journal; publishing book reviews, journal articles (especially refereed), professional reports or projects, books, or other printed works; winning a grant; participating in exhibitions or performances, or equivalent. For faculty teaching in AACSB-accredited programs, generally, </w:t>
            </w:r>
            <w:r w:rsidRPr="001544D6">
              <w:rPr>
                <w:b/>
                <w:bCs/>
              </w:rPr>
              <w:t xml:space="preserve">professional service activities </w:t>
            </w:r>
            <w:r w:rsidRPr="001544D6">
              <w:t>are</w:t>
            </w:r>
            <w:r w:rsidRPr="001544D6">
              <w:rPr>
                <w:b/>
                <w:bCs/>
              </w:rPr>
              <w:t xml:space="preserve"> not</w:t>
            </w:r>
            <w:r w:rsidRPr="001544D6">
              <w:t xml:space="preserve"> considered research, scholarship or professional development; </w:t>
            </w:r>
            <w:r w:rsidRPr="001544D6">
              <w:lastRenderedPageBreak/>
              <w:t>instead, organizational and managerial activities while holding office in professional organizations would be considered service to the profession. The 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3A31D665" w14:textId="064DBD6F" w:rsidR="005047F8" w:rsidRDefault="00D73588" w:rsidP="005047F8">
            <w:r>
              <w:lastRenderedPageBreak/>
              <w:t>In addition to the traditional items mentioned to the left, and utilizing the artifacts and the description given, w</w:t>
            </w:r>
            <w:r w:rsidR="005047F8">
              <w:t xml:space="preserve">hen interpreting the phrase “recognition within the discipline,” the UMW PHYS interprets the following clarifications for scholarly and professional activity: </w:t>
            </w:r>
          </w:p>
          <w:p w14:paraId="24FAC1F3" w14:textId="77777777" w:rsidR="005047F8" w:rsidRDefault="005047F8" w:rsidP="005047F8">
            <w:r>
              <w:t xml:space="preserve">(1) Within the PHYS discipline mentoring student research is </w:t>
            </w:r>
            <w:r>
              <w:rPr>
                <w:b/>
                <w:i/>
              </w:rPr>
              <w:t>both</w:t>
            </w:r>
            <w:r>
              <w:t xml:space="preserve"> an instructional activity (teaching) as well as a professional activity (research). Within the realm of teaching, faculty mentorship is teaching the student about the process of conducting science. “To </w:t>
            </w:r>
            <w:r w:rsidRPr="00BA4524">
              <w:t>develop the next generation of aspiring scientists</w:t>
            </w:r>
            <w:r>
              <w:t xml:space="preserve">” is a central tenet of the UMW Physics Program mission. When taken seriously, this has a tremendous impact on the faculty member’s ability to be productive independent of undergraduate student majors. Therefore, the number of faculty-mentored, student, as well as the progression of those faculty-mentored presentations will be noted and incorporated. In particular, within physics-specific contexts, student excellence will reflect favorably on the faculty who mentored the project. </w:t>
            </w:r>
          </w:p>
          <w:p w14:paraId="42EF5846" w14:textId="77777777" w:rsidR="005047F8" w:rsidRDefault="005047F8" w:rsidP="005047F8">
            <w:r>
              <w:t xml:space="preserve">(2) Support for PER will also be considered for PHYS faculty considered for tenure. There should be no doubt as to the scholarly quality of contributions to the </w:t>
            </w:r>
            <w:r>
              <w:lastRenderedPageBreak/>
              <w:t>excellence of physics instruction and learning.</w:t>
            </w:r>
          </w:p>
          <w:p w14:paraId="3770D2EC" w14:textId="731A5CD4" w:rsidR="007E7EA6" w:rsidRDefault="005047F8" w:rsidP="005047F8">
            <w:r>
              <w:t>(3) Every role in a professional organization has some measure of service to the discipline. Therefore, service within a professional organization that arises specifically from an office held within the organization will not be segregated from the role itself.</w:t>
            </w:r>
          </w:p>
        </w:tc>
      </w:tr>
    </w:tbl>
    <w:p w14:paraId="6F7C6E02" w14:textId="0045F931" w:rsidR="00811B52" w:rsidRDefault="00811B52" w:rsidP="00811B52"/>
    <w:p w14:paraId="13952350" w14:textId="7E3F7FF0" w:rsidR="00811B52" w:rsidRDefault="00811B52" w:rsidP="00811B52">
      <w:pPr>
        <w:pStyle w:val="Heading2"/>
      </w:pPr>
      <w:r>
        <w:t>Departmental Guidelines for Service</w:t>
      </w:r>
      <w:r w:rsidR="00475FB4">
        <w:t xml:space="preserve"> (</w:t>
      </w:r>
      <w:r w:rsidR="00475FB4" w:rsidRPr="00475FB4">
        <w:t>Promotion to Full Professor</w:t>
      </w:r>
      <w:r w:rsidR="00475FB4">
        <w:t>)</w:t>
      </w:r>
    </w:p>
    <w:p w14:paraId="7E8A1F53" w14:textId="7E071D62" w:rsidR="00255E1F" w:rsidRDefault="00255E1F" w:rsidP="00255E1F">
      <w:pPr>
        <w:pStyle w:val="Caption"/>
        <w:keepNext/>
      </w:pPr>
      <w:r>
        <w:t xml:space="preserve">Table </w:t>
      </w:r>
      <w:r w:rsidR="00000000">
        <w:fldChar w:fldCharType="begin"/>
      </w:r>
      <w:r w:rsidR="00000000">
        <w:instrText xml:space="preserve"> SEQ Table \* ARABIC </w:instrText>
      </w:r>
      <w:r w:rsidR="00000000">
        <w:fldChar w:fldCharType="separate"/>
      </w:r>
      <w:r>
        <w:rPr>
          <w:noProof/>
        </w:rPr>
        <w:t>9</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6095B8B7" w14:textId="77777777" w:rsidTr="4CD93D45">
        <w:tc>
          <w:tcPr>
            <w:tcW w:w="4675" w:type="dxa"/>
            <w:shd w:val="clear" w:color="auto" w:fill="C1E4F5" w:themeFill="accent1" w:themeFillTint="33"/>
          </w:tcPr>
          <w:p w14:paraId="047E9E34" w14:textId="77777777"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887E62B" w14:textId="75E9646E" w:rsidR="007F04C2" w:rsidRPr="00BF29D0" w:rsidRDefault="57122CD4">
            <w:pPr>
              <w:rPr>
                <w:b/>
                <w:bCs/>
              </w:rPr>
            </w:pPr>
            <w:r w:rsidRPr="4CD93D45">
              <w:rPr>
                <w:b/>
                <w:bCs/>
              </w:rPr>
              <w:t xml:space="preserve">Guidelines for How Criteria for Service Are </w:t>
            </w:r>
            <w:r w:rsidR="69824A50" w:rsidRPr="4CD93D45">
              <w:rPr>
                <w:b/>
                <w:bCs/>
              </w:rPr>
              <w:t>Met</w:t>
            </w:r>
            <w:r w:rsidRPr="4CD93D45">
              <w:rPr>
                <w:b/>
                <w:bCs/>
              </w:rPr>
              <w:t xml:space="preserve"> within Discipline</w:t>
            </w:r>
          </w:p>
        </w:tc>
      </w:tr>
      <w:tr w:rsidR="005047F8" w14:paraId="6DFBC24B" w14:textId="77777777" w:rsidTr="4CD93D45">
        <w:tc>
          <w:tcPr>
            <w:tcW w:w="4675" w:type="dxa"/>
          </w:tcPr>
          <w:p w14:paraId="6ADC2E0D" w14:textId="465306A5" w:rsidR="005047F8" w:rsidRDefault="005047F8" w:rsidP="005047F8">
            <w:r w:rsidRPr="00475FB4">
              <w:rPr>
                <w:b/>
                <w:bCs/>
              </w:rPr>
              <w:t>7.3.3.2 Criteria for Promotion to Full Professor</w:t>
            </w:r>
            <w:r w:rsidRPr="00475FB4">
              <w:t xml:space="preserve">    The candidate will demonstrate a significant record of advising, continuing contribution to the department, service to the college and/or University, and/or service to the profession. Service to the department and to the college and/or University is expected for promotion to this rank. In addition to the service roles listed in § 7.3.3.1, the candidate must also demonstrate effective leadership in service, as indicated by but not limited to: substantial contribution to a committee’s work; organizing events; lending one’s professional expertise to the community beyond the University; holding committee offices within and/or beyond the University; and bringing motions to shared governance or committee structures.</w:t>
            </w:r>
          </w:p>
        </w:tc>
        <w:tc>
          <w:tcPr>
            <w:tcW w:w="4675" w:type="dxa"/>
          </w:tcPr>
          <w:p w14:paraId="1BDFA64E" w14:textId="6343120E" w:rsidR="005047F8" w:rsidRDefault="005047F8" w:rsidP="005047F8">
            <w:r>
              <w:t>The PHYS program faculty will have no difficulty meeting the criteria for Service as it is defined in the handbook. It is noted that the “academic expertise” of a faculty member lies both in the instructional and disciplinary expertise.</w:t>
            </w:r>
          </w:p>
        </w:tc>
      </w:tr>
    </w:tbl>
    <w:p w14:paraId="5B786CC8" w14:textId="4E0A8434" w:rsidR="00811B52" w:rsidRPr="00BE73B8" w:rsidRDefault="00811B52" w:rsidP="00811B52"/>
    <w:p w14:paraId="29E01C40" w14:textId="77777777" w:rsidR="00BE73B8" w:rsidRPr="00BE73B8" w:rsidRDefault="00BE73B8" w:rsidP="00BE73B8"/>
    <w:sectPr w:rsidR="00BE73B8" w:rsidRPr="00BE73B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0992F" w14:textId="77777777" w:rsidR="00900878" w:rsidRDefault="00900878" w:rsidP="00FD4E05">
      <w:pPr>
        <w:spacing w:after="0" w:line="240" w:lineRule="auto"/>
      </w:pPr>
      <w:r>
        <w:separator/>
      </w:r>
    </w:p>
  </w:endnote>
  <w:endnote w:type="continuationSeparator" w:id="0">
    <w:p w14:paraId="04744ACF" w14:textId="77777777" w:rsidR="00900878" w:rsidRDefault="00900878" w:rsidP="00FD4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2803" w14:textId="31A590CD" w:rsidR="00FD4E05" w:rsidRDefault="00FD4E05" w:rsidP="00FD4E05">
    <w:pPr>
      <w:pStyle w:val="Footer"/>
      <w:jc w:val="right"/>
    </w:pPr>
    <w:r>
      <w:t xml:space="preserve">Approved by UFAC </w:t>
    </w:r>
    <w:r w:rsidR="00E15E82">
      <w:t>2/23/26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CF019" w14:textId="77777777" w:rsidR="00900878" w:rsidRDefault="00900878" w:rsidP="00FD4E05">
      <w:pPr>
        <w:spacing w:after="0" w:line="240" w:lineRule="auto"/>
      </w:pPr>
      <w:r>
        <w:separator/>
      </w:r>
    </w:p>
  </w:footnote>
  <w:footnote w:type="continuationSeparator" w:id="0">
    <w:p w14:paraId="73480B31" w14:textId="77777777" w:rsidR="00900878" w:rsidRDefault="00900878" w:rsidP="00FD4E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37"/>
    <w:rsid w:val="00037985"/>
    <w:rsid w:val="00073447"/>
    <w:rsid w:val="000C0D4C"/>
    <w:rsid w:val="000D7B1F"/>
    <w:rsid w:val="000E4F13"/>
    <w:rsid w:val="00133CB0"/>
    <w:rsid w:val="001544D6"/>
    <w:rsid w:val="001B6F77"/>
    <w:rsid w:val="001D4569"/>
    <w:rsid w:val="002070BF"/>
    <w:rsid w:val="00221146"/>
    <w:rsid w:val="00255E1F"/>
    <w:rsid w:val="002B2F2E"/>
    <w:rsid w:val="002F5B27"/>
    <w:rsid w:val="002F7737"/>
    <w:rsid w:val="003346DA"/>
    <w:rsid w:val="003449AB"/>
    <w:rsid w:val="00382CAF"/>
    <w:rsid w:val="003C3755"/>
    <w:rsid w:val="00400B18"/>
    <w:rsid w:val="00475FB4"/>
    <w:rsid w:val="004A7A68"/>
    <w:rsid w:val="004F0CAF"/>
    <w:rsid w:val="0050064F"/>
    <w:rsid w:val="005047F8"/>
    <w:rsid w:val="0057299D"/>
    <w:rsid w:val="00582707"/>
    <w:rsid w:val="005A7D6E"/>
    <w:rsid w:val="005E7DDA"/>
    <w:rsid w:val="0063611D"/>
    <w:rsid w:val="00694ADF"/>
    <w:rsid w:val="006C03EE"/>
    <w:rsid w:val="006E295B"/>
    <w:rsid w:val="00737E64"/>
    <w:rsid w:val="007E7EA6"/>
    <w:rsid w:val="007F04C2"/>
    <w:rsid w:val="00811B52"/>
    <w:rsid w:val="00826E6C"/>
    <w:rsid w:val="008364FA"/>
    <w:rsid w:val="008C5602"/>
    <w:rsid w:val="008F42B4"/>
    <w:rsid w:val="00900878"/>
    <w:rsid w:val="009A3F38"/>
    <w:rsid w:val="00A04683"/>
    <w:rsid w:val="00A1069C"/>
    <w:rsid w:val="00A11151"/>
    <w:rsid w:val="00A7430E"/>
    <w:rsid w:val="00AF6F67"/>
    <w:rsid w:val="00B1642C"/>
    <w:rsid w:val="00B356B8"/>
    <w:rsid w:val="00B9758C"/>
    <w:rsid w:val="00BA10BF"/>
    <w:rsid w:val="00BA4524"/>
    <w:rsid w:val="00BA7C1B"/>
    <w:rsid w:val="00BE73B8"/>
    <w:rsid w:val="00BF29D0"/>
    <w:rsid w:val="00C4039D"/>
    <w:rsid w:val="00C40CF1"/>
    <w:rsid w:val="00C6185B"/>
    <w:rsid w:val="00C6764D"/>
    <w:rsid w:val="00C81926"/>
    <w:rsid w:val="00C945C2"/>
    <w:rsid w:val="00D46436"/>
    <w:rsid w:val="00D53F1E"/>
    <w:rsid w:val="00D73588"/>
    <w:rsid w:val="00D80D17"/>
    <w:rsid w:val="00E1102B"/>
    <w:rsid w:val="00E15E82"/>
    <w:rsid w:val="00E34DFA"/>
    <w:rsid w:val="00E57C36"/>
    <w:rsid w:val="00E81960"/>
    <w:rsid w:val="00EC1F9C"/>
    <w:rsid w:val="00F91E49"/>
    <w:rsid w:val="00FA0521"/>
    <w:rsid w:val="00FB6944"/>
    <w:rsid w:val="00FD4E05"/>
    <w:rsid w:val="00FE2448"/>
    <w:rsid w:val="00FF1E37"/>
    <w:rsid w:val="050F51CE"/>
    <w:rsid w:val="0BC56D97"/>
    <w:rsid w:val="19894D7F"/>
    <w:rsid w:val="1FF27839"/>
    <w:rsid w:val="2099D0CB"/>
    <w:rsid w:val="2DCF7C9C"/>
    <w:rsid w:val="3825F6BA"/>
    <w:rsid w:val="40C0516B"/>
    <w:rsid w:val="4CD93D45"/>
    <w:rsid w:val="57122CD4"/>
    <w:rsid w:val="5CF632AB"/>
    <w:rsid w:val="626C5926"/>
    <w:rsid w:val="69824A50"/>
    <w:rsid w:val="774E8824"/>
    <w:rsid w:val="7BFEB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EDFD"/>
  <w15:chartTrackingRefBased/>
  <w15:docId w15:val="{EF38AD73-38F2-4430-BC75-C04B8980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7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7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737"/>
    <w:rPr>
      <w:rFonts w:eastAsiaTheme="majorEastAsia" w:cstheme="majorBidi"/>
      <w:color w:val="272727" w:themeColor="text1" w:themeTint="D8"/>
    </w:rPr>
  </w:style>
  <w:style w:type="paragraph" w:styleId="Title">
    <w:name w:val="Title"/>
    <w:basedOn w:val="Normal"/>
    <w:next w:val="Normal"/>
    <w:link w:val="TitleChar"/>
    <w:uiPriority w:val="10"/>
    <w:qFormat/>
    <w:rsid w:val="002F7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737"/>
    <w:pPr>
      <w:spacing w:before="160"/>
      <w:jc w:val="center"/>
    </w:pPr>
    <w:rPr>
      <w:i/>
      <w:iCs/>
      <w:color w:val="404040" w:themeColor="text1" w:themeTint="BF"/>
    </w:rPr>
  </w:style>
  <w:style w:type="character" w:customStyle="1" w:styleId="QuoteChar">
    <w:name w:val="Quote Char"/>
    <w:basedOn w:val="DefaultParagraphFont"/>
    <w:link w:val="Quote"/>
    <w:uiPriority w:val="29"/>
    <w:rsid w:val="002F7737"/>
    <w:rPr>
      <w:i/>
      <w:iCs/>
      <w:color w:val="404040" w:themeColor="text1" w:themeTint="BF"/>
    </w:rPr>
  </w:style>
  <w:style w:type="paragraph" w:styleId="ListParagraph">
    <w:name w:val="List Paragraph"/>
    <w:basedOn w:val="Normal"/>
    <w:uiPriority w:val="34"/>
    <w:qFormat/>
    <w:rsid w:val="002F7737"/>
    <w:pPr>
      <w:ind w:left="720"/>
      <w:contextualSpacing/>
    </w:pPr>
  </w:style>
  <w:style w:type="character" w:styleId="IntenseEmphasis">
    <w:name w:val="Intense Emphasis"/>
    <w:basedOn w:val="DefaultParagraphFont"/>
    <w:uiPriority w:val="21"/>
    <w:qFormat/>
    <w:rsid w:val="002F7737"/>
    <w:rPr>
      <w:i/>
      <w:iCs/>
      <w:color w:val="0F4761" w:themeColor="accent1" w:themeShade="BF"/>
    </w:rPr>
  </w:style>
  <w:style w:type="paragraph" w:styleId="IntenseQuote">
    <w:name w:val="Intense Quote"/>
    <w:basedOn w:val="Normal"/>
    <w:next w:val="Normal"/>
    <w:link w:val="IntenseQuoteChar"/>
    <w:uiPriority w:val="30"/>
    <w:qFormat/>
    <w:rsid w:val="002F7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737"/>
    <w:rPr>
      <w:i/>
      <w:iCs/>
      <w:color w:val="0F4761" w:themeColor="accent1" w:themeShade="BF"/>
    </w:rPr>
  </w:style>
  <w:style w:type="character" w:styleId="IntenseReference">
    <w:name w:val="Intense Reference"/>
    <w:basedOn w:val="DefaultParagraphFont"/>
    <w:uiPriority w:val="32"/>
    <w:qFormat/>
    <w:rsid w:val="002F7737"/>
    <w:rPr>
      <w:b/>
      <w:bCs/>
      <w:smallCaps/>
      <w:color w:val="0F4761" w:themeColor="accent1" w:themeShade="BF"/>
      <w:spacing w:val="5"/>
    </w:rPr>
  </w:style>
  <w:style w:type="paragraph" w:styleId="Header">
    <w:name w:val="header"/>
    <w:basedOn w:val="Normal"/>
    <w:link w:val="HeaderChar"/>
    <w:uiPriority w:val="99"/>
    <w:unhideWhenUsed/>
    <w:rsid w:val="00FD4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E05"/>
  </w:style>
  <w:style w:type="paragraph" w:styleId="Footer">
    <w:name w:val="footer"/>
    <w:basedOn w:val="Normal"/>
    <w:link w:val="FooterChar"/>
    <w:uiPriority w:val="99"/>
    <w:unhideWhenUsed/>
    <w:rsid w:val="00FD4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E05"/>
  </w:style>
  <w:style w:type="table" w:styleId="TableGrid">
    <w:name w:val="Table Grid"/>
    <w:basedOn w:val="TableNormal"/>
    <w:uiPriority w:val="39"/>
    <w:rsid w:val="00B16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57C36"/>
    <w:pPr>
      <w:spacing w:line="240" w:lineRule="auto"/>
    </w:pPr>
    <w:rPr>
      <w:sz w:val="20"/>
      <w:szCs w:val="20"/>
    </w:rPr>
  </w:style>
  <w:style w:type="character" w:customStyle="1" w:styleId="CommentTextChar">
    <w:name w:val="Comment Text Char"/>
    <w:basedOn w:val="DefaultParagraphFont"/>
    <w:link w:val="CommentText"/>
    <w:uiPriority w:val="99"/>
    <w:semiHidden/>
    <w:rsid w:val="00E57C36"/>
    <w:rPr>
      <w:sz w:val="20"/>
      <w:szCs w:val="20"/>
    </w:rPr>
  </w:style>
  <w:style w:type="character" w:styleId="CommentReference">
    <w:name w:val="annotation reference"/>
    <w:basedOn w:val="DefaultParagraphFont"/>
    <w:uiPriority w:val="99"/>
    <w:semiHidden/>
    <w:unhideWhenUsed/>
    <w:rsid w:val="00E57C36"/>
    <w:rPr>
      <w:sz w:val="16"/>
      <w:szCs w:val="16"/>
    </w:rPr>
  </w:style>
  <w:style w:type="paragraph" w:styleId="Caption">
    <w:name w:val="caption"/>
    <w:basedOn w:val="Normal"/>
    <w:next w:val="Normal"/>
    <w:uiPriority w:val="35"/>
    <w:unhideWhenUsed/>
    <w:qFormat/>
    <w:rsid w:val="00255E1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STag3 xmlns="9033de13-fd7a-4061-b208-134d2440ed20" xsi:nil="true"/>
    <LSTag2 xmlns="9033de13-fd7a-4061-b208-134d2440ed20" xsi:nil="true"/>
    <LSTag1 xmlns="9033de13-fd7a-4061-b208-134d2440ed20" xsi:nil="true"/>
    <LSTag4 xmlns="9033de13-fd7a-4061-b208-134d2440ed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C277DE4C99A342A954A3EA21AF6FFE" ma:contentTypeVersion="8" ma:contentTypeDescription="Create a new document." ma:contentTypeScope="" ma:versionID="72ec56e044de015eb480168cb047e61c">
  <xsd:schema xmlns:xsd="http://www.w3.org/2001/XMLSchema" xmlns:xs="http://www.w3.org/2001/XMLSchema" xmlns:p="http://schemas.microsoft.com/office/2006/metadata/properties" xmlns:ns2="8913b55c-c562-4e70-8abe-0b44daff9ffb" xmlns:ns3="9033de13-fd7a-4061-b208-134d2440ed20" targetNamespace="http://schemas.microsoft.com/office/2006/metadata/properties" ma:root="true" ma:fieldsID="52c29fab3f9ca19ab0f6c6bd49ae7137" ns2:_="" ns3:_="">
    <xsd:import namespace="8913b55c-c562-4e70-8abe-0b44daff9ffb"/>
    <xsd:import namespace="9033de13-fd7a-4061-b208-134d2440ed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LSTag1" minOccurs="0"/>
                <xsd:element ref="ns3:LSTag2" minOccurs="0"/>
                <xsd:element ref="ns3:LSTag3" minOccurs="0"/>
                <xsd:element ref="ns3:LSTag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3b55c-c562-4e70-8abe-0b44daff9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3de13-fd7a-4061-b208-134d2440ed20" elementFormDefault="qualified">
    <xsd:import namespace="http://schemas.microsoft.com/office/2006/documentManagement/types"/>
    <xsd:import namespace="http://schemas.microsoft.com/office/infopath/2007/PartnerControls"/>
    <xsd:element name="LSTag1" ma:index="12" nillable="true" ma:displayName="LSTag1" ma:hidden="true" ma:internalName="LSTag1">
      <xsd:simpleType>
        <xsd:restriction base="dms:Note"/>
      </xsd:simpleType>
    </xsd:element>
    <xsd:element name="LSTag2" ma:index="13" nillable="true" ma:displayName="LSTag2" ma:hidden="true" ma:internalName="LSTag2">
      <xsd:simpleType>
        <xsd:restriction base="dms:Note"/>
      </xsd:simpleType>
    </xsd:element>
    <xsd:element name="LSTag3" ma:index="14" nillable="true" ma:displayName="LSTag3" ma:hidden="true" ma:internalName="LSTag3">
      <xsd:simpleType>
        <xsd:restriction base="dms:Note"/>
      </xsd:simpleType>
    </xsd:element>
    <xsd:element name="LSTag4" ma:index="15" nillable="true" ma:displayName="LSTag4" ma:hidden="true" ma:internalName="LSTag4">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6FC1DE-DFC6-7244-A816-3BF2C8CE1E84}">
  <ds:schemaRefs>
    <ds:schemaRef ds:uri="http://schemas.openxmlformats.org/officeDocument/2006/bibliography"/>
  </ds:schemaRefs>
</ds:datastoreItem>
</file>

<file path=customXml/itemProps2.xml><?xml version="1.0" encoding="utf-8"?>
<ds:datastoreItem xmlns:ds="http://schemas.openxmlformats.org/officeDocument/2006/customXml" ds:itemID="{C27317D1-3B21-43FA-ADCE-9CF060066A41}">
  <ds:schemaRefs>
    <ds:schemaRef ds:uri="http://schemas.microsoft.com/office/2006/metadata/properties"/>
    <ds:schemaRef ds:uri="http://schemas.microsoft.com/office/infopath/2007/PartnerControls"/>
    <ds:schemaRef ds:uri="9033de13-fd7a-4061-b208-134d2440ed20"/>
  </ds:schemaRefs>
</ds:datastoreItem>
</file>

<file path=customXml/itemProps3.xml><?xml version="1.0" encoding="utf-8"?>
<ds:datastoreItem xmlns:ds="http://schemas.openxmlformats.org/officeDocument/2006/customXml" ds:itemID="{EF0E5CE7-D192-4C29-8CA5-A86F2B49DFF1}">
  <ds:schemaRefs>
    <ds:schemaRef ds:uri="http://schemas.microsoft.com/sharepoint/v3/contenttype/forms"/>
  </ds:schemaRefs>
</ds:datastoreItem>
</file>

<file path=customXml/itemProps4.xml><?xml version="1.0" encoding="utf-8"?>
<ds:datastoreItem xmlns:ds="http://schemas.openxmlformats.org/officeDocument/2006/customXml" ds:itemID="{87BE5F2C-85F6-4D9C-B8BB-83742BF8A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3b55c-c562-4e70-8abe-0b44daff9ffb"/>
    <ds:schemaRef ds:uri="9033de13-fd7a-4061-b208-134d2440e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3168</Words>
  <Characters>18058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Wells (mwells)</dc:creator>
  <cp:keywords/>
  <dc:description/>
  <cp:lastModifiedBy>Amy O'Reilly (aoreilly)</cp:lastModifiedBy>
  <cp:revision>2</cp:revision>
  <dcterms:created xsi:type="dcterms:W3CDTF">2026-10-16T19:45:00Z</dcterms:created>
  <dcterms:modified xsi:type="dcterms:W3CDTF">2026-10-16T19:45:00Z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0x0101008FC277DE4C99A342A954A3EA21AF6FFE</vt:lpwstr>
  </property>
</Properties>
</file>